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6E" w:rsidRDefault="0005666E" w:rsidP="0005666E">
      <w:pPr>
        <w:jc w:val="center"/>
        <w:rPr>
          <w:rFonts w:ascii="黑体" w:eastAsia="黑体"/>
          <w:b/>
          <w:bCs/>
          <w:color w:val="FF0000"/>
          <w:w w:val="66"/>
          <w:sz w:val="72"/>
          <w:szCs w:val="72"/>
        </w:rPr>
      </w:pPr>
      <w:r>
        <w:rPr>
          <w:rFonts w:ascii="黑体" w:eastAsia="黑体" w:cs="黑体" w:hint="eastAsia"/>
          <w:b/>
          <w:bCs/>
          <w:color w:val="FF0000"/>
          <w:w w:val="66"/>
          <w:sz w:val="72"/>
          <w:szCs w:val="72"/>
        </w:rPr>
        <w:t>天津科技大学化工与材料学院文件</w:t>
      </w:r>
    </w:p>
    <w:p w:rsidR="0005666E" w:rsidRDefault="0005666E" w:rsidP="0005666E">
      <w:pPr>
        <w:jc w:val="center"/>
        <w:rPr>
          <w:sz w:val="32"/>
          <w:szCs w:val="32"/>
        </w:rPr>
      </w:pPr>
    </w:p>
    <w:p w:rsidR="0005666E" w:rsidRPr="006C6790" w:rsidRDefault="0005666E" w:rsidP="006C6790">
      <w:pPr>
        <w:spacing w:line="540" w:lineRule="exact"/>
        <w:jc w:val="center"/>
        <w:rPr>
          <w:rFonts w:ascii="仿宋" w:eastAsia="仿宋" w:hAnsi="仿宋"/>
          <w:b/>
          <w:color w:val="FF0000"/>
          <w:sz w:val="32"/>
          <w:szCs w:val="32"/>
        </w:rPr>
      </w:pPr>
      <w:r w:rsidRPr="006C6790">
        <w:rPr>
          <w:rFonts w:ascii="仿宋" w:eastAsia="仿宋" w:hAnsi="仿宋" w:hint="eastAsia"/>
          <w:b/>
          <w:color w:val="FF0000"/>
          <w:sz w:val="32"/>
          <w:szCs w:val="32"/>
        </w:rPr>
        <w:t>津科大化</w:t>
      </w:r>
      <w:r w:rsidRPr="006C6790">
        <w:rPr>
          <w:rFonts w:ascii="仿宋" w:eastAsia="仿宋" w:hAnsi="仿宋"/>
          <w:b/>
          <w:color w:val="FF0000"/>
          <w:sz w:val="32"/>
          <w:szCs w:val="32"/>
        </w:rPr>
        <w:t>[201</w:t>
      </w:r>
      <w:r w:rsidRPr="006C6790">
        <w:rPr>
          <w:rFonts w:ascii="仿宋" w:eastAsia="仿宋" w:hAnsi="仿宋" w:hint="eastAsia"/>
          <w:b/>
          <w:color w:val="FF0000"/>
          <w:sz w:val="32"/>
          <w:szCs w:val="32"/>
        </w:rPr>
        <w:t>5</w:t>
      </w:r>
      <w:r w:rsidRPr="006C6790">
        <w:rPr>
          <w:rFonts w:ascii="仿宋" w:eastAsia="仿宋" w:hAnsi="仿宋"/>
          <w:b/>
          <w:color w:val="FF0000"/>
          <w:sz w:val="32"/>
          <w:szCs w:val="32"/>
        </w:rPr>
        <w:t>]</w:t>
      </w:r>
      <w:r w:rsidRPr="006C6790">
        <w:rPr>
          <w:rFonts w:ascii="仿宋" w:eastAsia="仿宋" w:hAnsi="仿宋" w:hint="eastAsia"/>
          <w:b/>
          <w:color w:val="FF0000"/>
          <w:sz w:val="32"/>
          <w:szCs w:val="32"/>
        </w:rPr>
        <w:t>1</w:t>
      </w:r>
      <w:r w:rsidR="00946A61">
        <w:rPr>
          <w:rFonts w:ascii="仿宋" w:eastAsia="仿宋" w:hAnsi="仿宋" w:hint="eastAsia"/>
          <w:b/>
          <w:color w:val="FF0000"/>
          <w:sz w:val="32"/>
          <w:szCs w:val="32"/>
        </w:rPr>
        <w:t>6</w:t>
      </w:r>
      <w:r w:rsidRPr="006C6790">
        <w:rPr>
          <w:rFonts w:ascii="仿宋" w:eastAsia="仿宋" w:hAnsi="仿宋" w:hint="eastAsia"/>
          <w:b/>
          <w:color w:val="FF0000"/>
          <w:sz w:val="32"/>
          <w:szCs w:val="32"/>
        </w:rPr>
        <w:t>号</w:t>
      </w:r>
    </w:p>
    <w:p w:rsidR="0005666E" w:rsidRPr="0051390B" w:rsidRDefault="00DA096B" w:rsidP="0005666E">
      <w:pPr>
        <w:jc w:val="center"/>
        <w:rPr>
          <w:b/>
          <w:bCs/>
          <w:sz w:val="32"/>
          <w:szCs w:val="32"/>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99060</wp:posOffset>
                </wp:positionV>
                <wp:extent cx="5372100" cy="0"/>
                <wp:effectExtent l="19050" t="1905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2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" strokecolor="red" strokeweight="2.25pt"/>
            </w:pict>
          </mc:Fallback>
        </mc:AlternateContent>
      </w:r>
    </w:p>
    <w:p w:rsidR="0005666E" w:rsidRPr="00946A61" w:rsidRDefault="00946A61" w:rsidP="006C6790">
      <w:pPr>
        <w:adjustRightInd w:val="0"/>
        <w:snapToGrid w:val="0"/>
        <w:jc w:val="center"/>
        <w:rPr>
          <w:rFonts w:ascii="方正小标宋简体" w:eastAsia="方正小标宋简体"/>
          <w:kern w:val="0"/>
          <w:sz w:val="36"/>
          <w:szCs w:val="36"/>
        </w:rPr>
      </w:pPr>
      <w:r w:rsidRPr="00946A61">
        <w:rPr>
          <w:rFonts w:ascii="方正小标宋简体" w:eastAsia="方正小标宋简体" w:hint="eastAsia"/>
          <w:kern w:val="0"/>
          <w:sz w:val="36"/>
          <w:szCs w:val="36"/>
        </w:rPr>
        <w:t>化工与材料学院</w:t>
      </w:r>
      <w:r w:rsidR="00DA096B" w:rsidRPr="00946A61">
        <w:rPr>
          <w:rFonts w:ascii="方正小标宋简体" w:eastAsia="方正小标宋简体" w:hint="eastAsia"/>
          <w:kern w:val="0"/>
          <w:sz w:val="36"/>
          <w:szCs w:val="36"/>
        </w:rPr>
        <w:t>实验室守则</w:t>
      </w:r>
    </w:p>
    <w:p w:rsidR="00DA096B" w:rsidRPr="00DA096B" w:rsidRDefault="00DA096B" w:rsidP="0005666E">
      <w:pPr>
        <w:jc w:val="center"/>
        <w:rPr>
          <w:rFonts w:ascii="宋体"/>
          <w:b/>
          <w:bCs/>
          <w:kern w:val="0"/>
          <w:sz w:val="10"/>
          <w:szCs w:val="10"/>
        </w:rPr>
      </w:pP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为规范我院实验室（本科生实验室和研究室）的安全管理，杜绝危险化学品事故发生，保证整洁、安全、文明的教学科研环境，根据学校相关规定，结合我院实际，特制定本实验室守则。</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一、实验室必须有安全卫生工作责任人以及安全卫生管理制度。实验室内要保持整洁、卫生，实验物品、仪器设备摆放有序。</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二、实验室门窗完好无损；通风、照明等基本设施完好；电路、水路、气路安全、规范；实验台和地面整洁、干净、无损坏。</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三、在实验室内开展实验相关工作的教师和学生要穿着实验服。</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四、实验室要有防火基本设施，实验室内禁止存放私人生活物品。</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五、在实验室工作的教师和学生必须熟悉和遵守危险化学品安全使用规程，对易燃、易爆、易制毒化学药品执行五双管理制度（双人管理、</w:t>
      </w:r>
      <w:proofErr w:type="gramStart"/>
      <w:r w:rsidRPr="006C6790">
        <w:rPr>
          <w:rFonts w:ascii="仿宋" w:eastAsia="仿宋" w:hAnsi="仿宋" w:hint="eastAsia"/>
          <w:sz w:val="32"/>
          <w:szCs w:val="32"/>
        </w:rPr>
        <w:t>双把锁</w:t>
      </w:r>
      <w:proofErr w:type="gramEnd"/>
      <w:r w:rsidRPr="006C6790">
        <w:rPr>
          <w:rFonts w:ascii="仿宋" w:eastAsia="仿宋" w:hAnsi="仿宋" w:hint="eastAsia"/>
          <w:sz w:val="32"/>
          <w:szCs w:val="32"/>
        </w:rPr>
        <w:t>、双人领取、双人使用、双</w:t>
      </w:r>
      <w:r w:rsidRPr="006C6790">
        <w:rPr>
          <w:rFonts w:ascii="仿宋" w:eastAsia="仿宋" w:hAnsi="仿宋" w:hint="eastAsia"/>
          <w:sz w:val="32"/>
          <w:szCs w:val="32"/>
        </w:rPr>
        <w:lastRenderedPageBreak/>
        <w:t>本帐）、强酸等腐蚀试剂专人管理且必须控制实验室存储数量（不超过2瓶），专门存放，其他人员不得任意动用。对危险化学品的领、用、剩、废、耗的数量必须详细记录，严禁出现监管疏漏环节。</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六、在实验过程中，或使用大功率用电设备实验人员不得擅自离岗。</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七、高压容器放置位置合理，安放稳固。易燃与助燃高压气瓶要分开放置并要有固定高压气瓶装置。</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八、实验产生的 “三废”按照天津科技大学实验室废弃物处理的管理规定执行。将废弃物分类放置，废液桶（瓶）置于实验室内固定地点，将标签贴好并注明实验室名称、废液的主要成分等信息。</w:t>
      </w:r>
    </w:p>
    <w:p w:rsidR="00DA096B" w:rsidRPr="00DA096B" w:rsidRDefault="00DA096B" w:rsidP="006C6790">
      <w:pPr>
        <w:adjustRightInd w:val="0"/>
        <w:snapToGrid w:val="0"/>
        <w:spacing w:line="360" w:lineRule="auto"/>
        <w:ind w:firstLineChars="200" w:firstLine="640"/>
        <w:rPr>
          <w:rFonts w:ascii="仿宋_GB2312" w:eastAsia="仿宋_GB2312" w:hAnsi="Calibri" w:cs="仿宋_GB2312"/>
          <w:sz w:val="32"/>
          <w:szCs w:val="32"/>
        </w:rPr>
      </w:pPr>
      <w:r w:rsidRPr="006C6790">
        <w:rPr>
          <w:rFonts w:ascii="仿宋" w:eastAsia="仿宋" w:hAnsi="仿宋" w:hint="eastAsia"/>
          <w:sz w:val="32"/>
          <w:szCs w:val="32"/>
        </w:rPr>
        <w:t>九、因过期、失效、变质需要报废的化学品，可与废液桶、试剂瓶一起上报实验室与设备管理处，并由实验室与设备管理处统一处理，不得随意丢弃、倾倒。严禁将各种废弃物或试剂瓶丢弃于楼道内。</w:t>
      </w:r>
    </w:p>
    <w:p w:rsidR="00DA096B" w:rsidRPr="006C6790" w:rsidRDefault="00DA096B" w:rsidP="006C6790">
      <w:pPr>
        <w:adjustRightInd w:val="0"/>
        <w:snapToGrid w:val="0"/>
        <w:spacing w:line="360" w:lineRule="auto"/>
        <w:ind w:firstLineChars="200" w:firstLine="640"/>
        <w:rPr>
          <w:rFonts w:ascii="仿宋" w:eastAsia="仿宋" w:hAnsi="仿宋"/>
          <w:sz w:val="32"/>
          <w:szCs w:val="32"/>
        </w:rPr>
      </w:pPr>
      <w:r w:rsidRPr="006C6790">
        <w:rPr>
          <w:rFonts w:ascii="仿宋" w:eastAsia="仿宋" w:hAnsi="仿宋" w:hint="eastAsia"/>
          <w:sz w:val="32"/>
          <w:szCs w:val="32"/>
        </w:rPr>
        <w:t>十、做好实验前的准备工作，实验过程中严格按照实验操作规程操作，做好实验记录，不得擅自离岗。</w:t>
      </w:r>
    </w:p>
    <w:p w:rsidR="00F871DD" w:rsidRDefault="00DA096B" w:rsidP="00F871DD">
      <w:pPr>
        <w:adjustRightInd w:val="0"/>
        <w:snapToGrid w:val="0"/>
        <w:spacing w:line="360" w:lineRule="auto"/>
        <w:ind w:firstLineChars="200" w:firstLine="640"/>
        <w:rPr>
          <w:rFonts w:ascii="仿宋" w:eastAsia="仿宋" w:hAnsi="仿宋" w:hint="eastAsia"/>
          <w:sz w:val="32"/>
          <w:szCs w:val="32"/>
        </w:rPr>
      </w:pPr>
      <w:r w:rsidRPr="006C6790">
        <w:rPr>
          <w:rFonts w:ascii="仿宋" w:eastAsia="仿宋" w:hAnsi="仿宋" w:hint="eastAsia"/>
          <w:sz w:val="32"/>
          <w:szCs w:val="32"/>
        </w:rPr>
        <w:t>对于违反上述规定的，根据实际情况，酌情进行处分，情节严重的，将追究责任。</w:t>
      </w:r>
    </w:p>
    <w:p w:rsidR="00DA096B" w:rsidRPr="00DA096B" w:rsidRDefault="00DA096B" w:rsidP="00F871DD">
      <w:pPr>
        <w:adjustRightInd w:val="0"/>
        <w:snapToGrid w:val="0"/>
        <w:spacing w:line="360" w:lineRule="auto"/>
        <w:ind w:firstLineChars="1800" w:firstLine="5760"/>
        <w:rPr>
          <w:rFonts w:ascii="仿宋_GB2312" w:eastAsia="仿宋_GB2312" w:hAnsi="Calibri" w:cs="仿宋_GB2312"/>
          <w:sz w:val="32"/>
          <w:szCs w:val="32"/>
        </w:rPr>
      </w:pPr>
      <w:bookmarkStart w:id="0" w:name="_GoBack"/>
      <w:bookmarkEnd w:id="0"/>
      <w:r w:rsidRPr="00DA096B">
        <w:rPr>
          <w:rFonts w:ascii="仿宋_GB2312" w:eastAsia="仿宋_GB2312" w:hAnsi="Calibri" w:cs="仿宋_GB2312" w:hint="eastAsia"/>
          <w:sz w:val="32"/>
          <w:szCs w:val="32"/>
        </w:rPr>
        <w:t>化工与材料学院</w:t>
      </w:r>
    </w:p>
    <w:p w:rsidR="004072D5" w:rsidRPr="00DA096B" w:rsidRDefault="006C6790" w:rsidP="006C6790">
      <w:pPr>
        <w:wordWrap w:val="0"/>
        <w:ind w:firstLineChars="200" w:firstLine="640"/>
        <w:jc w:val="right"/>
        <w:rPr>
          <w:rFonts w:ascii="仿宋_GB2312" w:eastAsia="仿宋_GB2312" w:hAnsi="Calibri" w:cs="仿宋_GB2312"/>
          <w:sz w:val="32"/>
          <w:szCs w:val="32"/>
        </w:rPr>
      </w:pPr>
      <w:r>
        <w:rPr>
          <w:rFonts w:ascii="仿宋_GB2312" w:eastAsia="仿宋_GB2312" w:hAnsi="Calibri" w:cs="仿宋_GB2312" w:hint="eastAsia"/>
          <w:sz w:val="32"/>
          <w:szCs w:val="32"/>
        </w:rPr>
        <w:t xml:space="preserve">  </w:t>
      </w:r>
      <w:r w:rsidR="00DA096B" w:rsidRPr="00DA096B">
        <w:rPr>
          <w:rFonts w:ascii="仿宋_GB2312" w:eastAsia="仿宋_GB2312" w:hAnsi="Calibri" w:cs="仿宋_GB2312" w:hint="eastAsia"/>
          <w:sz w:val="32"/>
          <w:szCs w:val="32"/>
        </w:rPr>
        <w:t>2015年11月</w:t>
      </w:r>
      <w:r>
        <w:rPr>
          <w:rFonts w:ascii="仿宋_GB2312" w:eastAsia="仿宋_GB2312" w:hAnsi="Calibri" w:cs="仿宋_GB2312" w:hint="eastAsia"/>
          <w:sz w:val="32"/>
          <w:szCs w:val="32"/>
        </w:rPr>
        <w:t>4</w:t>
      </w:r>
      <w:r w:rsidR="00DA096B" w:rsidRPr="00DA096B">
        <w:rPr>
          <w:rFonts w:ascii="仿宋_GB2312" w:eastAsia="仿宋_GB2312" w:hAnsi="Calibri" w:cs="仿宋_GB2312" w:hint="eastAsia"/>
          <w:sz w:val="32"/>
          <w:szCs w:val="32"/>
        </w:rPr>
        <w:t>日</w:t>
      </w:r>
    </w:p>
    <w:sectPr w:rsidR="004072D5" w:rsidRPr="00DA096B" w:rsidSect="00F871DD">
      <w:footerReference w:type="default" r:id="rId7"/>
      <w:pgSz w:w="11906" w:h="16838"/>
      <w:pgMar w:top="1440" w:right="1797" w:bottom="28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8E" w:rsidRDefault="006E2B8E" w:rsidP="0052117C">
      <w:r>
        <w:separator/>
      </w:r>
    </w:p>
  </w:endnote>
  <w:endnote w:type="continuationSeparator" w:id="0">
    <w:p w:rsidR="006E2B8E" w:rsidRDefault="006E2B8E" w:rsidP="0052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443458"/>
      <w:docPartObj>
        <w:docPartGallery w:val="Page Numbers (Bottom of Page)"/>
        <w:docPartUnique/>
      </w:docPartObj>
    </w:sdtPr>
    <w:sdtEndPr/>
    <w:sdtContent>
      <w:p w:rsidR="006C6790" w:rsidRDefault="006C6790" w:rsidP="00F871DD">
        <w:pPr>
          <w:pStyle w:val="a4"/>
          <w:jc w:val="center"/>
        </w:pPr>
        <w:r>
          <w:fldChar w:fldCharType="begin"/>
        </w:r>
        <w:r>
          <w:instrText>PAGE   \* MERGEFORMAT</w:instrText>
        </w:r>
        <w:r>
          <w:fldChar w:fldCharType="separate"/>
        </w:r>
        <w:r w:rsidR="00F871DD" w:rsidRPr="00F871DD">
          <w:rPr>
            <w:noProof/>
            <w:lang w:val="zh-CN"/>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8E" w:rsidRDefault="006E2B8E" w:rsidP="0052117C">
      <w:r>
        <w:separator/>
      </w:r>
    </w:p>
  </w:footnote>
  <w:footnote w:type="continuationSeparator" w:id="0">
    <w:p w:rsidR="006E2B8E" w:rsidRDefault="006E2B8E" w:rsidP="00521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66E"/>
    <w:rsid w:val="000104ED"/>
    <w:rsid w:val="0005666E"/>
    <w:rsid w:val="001029CB"/>
    <w:rsid w:val="001B1B54"/>
    <w:rsid w:val="00271644"/>
    <w:rsid w:val="002C4616"/>
    <w:rsid w:val="003166C7"/>
    <w:rsid w:val="00323A0C"/>
    <w:rsid w:val="004072D5"/>
    <w:rsid w:val="0052117C"/>
    <w:rsid w:val="00521DA8"/>
    <w:rsid w:val="006C6790"/>
    <w:rsid w:val="006E2B8E"/>
    <w:rsid w:val="007F4021"/>
    <w:rsid w:val="00831EBA"/>
    <w:rsid w:val="00946A61"/>
    <w:rsid w:val="00AC283F"/>
    <w:rsid w:val="00AE27DF"/>
    <w:rsid w:val="00AF124C"/>
    <w:rsid w:val="00B44E22"/>
    <w:rsid w:val="00B47638"/>
    <w:rsid w:val="00BB417C"/>
    <w:rsid w:val="00C44F6E"/>
    <w:rsid w:val="00C63F92"/>
    <w:rsid w:val="00C81532"/>
    <w:rsid w:val="00D02EEC"/>
    <w:rsid w:val="00DA096B"/>
    <w:rsid w:val="00E540E8"/>
    <w:rsid w:val="00E82CCC"/>
    <w:rsid w:val="00F54CDC"/>
    <w:rsid w:val="00F871DD"/>
    <w:rsid w:val="00FB52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17C"/>
    <w:rPr>
      <w:rFonts w:ascii="Times New Roman" w:eastAsia="宋体" w:hAnsi="Times New Roman" w:cs="Times New Roman"/>
      <w:sz w:val="18"/>
      <w:szCs w:val="18"/>
    </w:rPr>
  </w:style>
  <w:style w:type="paragraph" w:styleId="a4">
    <w:name w:val="footer"/>
    <w:basedOn w:val="a"/>
    <w:link w:val="Char0"/>
    <w:uiPriority w:val="99"/>
    <w:unhideWhenUsed/>
    <w:rsid w:val="0052117C"/>
    <w:pPr>
      <w:tabs>
        <w:tab w:val="center" w:pos="4153"/>
        <w:tab w:val="right" w:pos="8306"/>
      </w:tabs>
      <w:snapToGrid w:val="0"/>
      <w:jc w:val="left"/>
    </w:pPr>
    <w:rPr>
      <w:sz w:val="18"/>
      <w:szCs w:val="18"/>
    </w:rPr>
  </w:style>
  <w:style w:type="character" w:customStyle="1" w:styleId="Char0">
    <w:name w:val="页脚 Char"/>
    <w:basedOn w:val="a0"/>
    <w:link w:val="a4"/>
    <w:uiPriority w:val="99"/>
    <w:rsid w:val="0052117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66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11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117C"/>
    <w:rPr>
      <w:rFonts w:ascii="Times New Roman" w:eastAsia="宋体" w:hAnsi="Times New Roman" w:cs="Times New Roman"/>
      <w:sz w:val="18"/>
      <w:szCs w:val="18"/>
    </w:rPr>
  </w:style>
  <w:style w:type="paragraph" w:styleId="a4">
    <w:name w:val="footer"/>
    <w:basedOn w:val="a"/>
    <w:link w:val="Char0"/>
    <w:uiPriority w:val="99"/>
    <w:unhideWhenUsed/>
    <w:rsid w:val="0052117C"/>
    <w:pPr>
      <w:tabs>
        <w:tab w:val="center" w:pos="4153"/>
        <w:tab w:val="right" w:pos="8306"/>
      </w:tabs>
      <w:snapToGrid w:val="0"/>
      <w:jc w:val="left"/>
    </w:pPr>
    <w:rPr>
      <w:sz w:val="18"/>
      <w:szCs w:val="18"/>
    </w:rPr>
  </w:style>
  <w:style w:type="character" w:customStyle="1" w:styleId="Char0">
    <w:name w:val="页脚 Char"/>
    <w:basedOn w:val="a0"/>
    <w:link w:val="a4"/>
    <w:uiPriority w:val="99"/>
    <w:rsid w:val="0052117C"/>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122</Words>
  <Characters>701</Characters>
  <Application>Microsoft Office Word</Application>
  <DocSecurity>0</DocSecurity>
  <Lines>5</Lines>
  <Paragraphs>1</Paragraphs>
  <ScaleCrop>false</ScaleCrop>
  <Company>Sky123.Org</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2015-12-23T01:57:00Z</dcterms:created>
  <dcterms:modified xsi:type="dcterms:W3CDTF">2016-11-23T07:03:00Z</dcterms:modified>
</cp:coreProperties>
</file>