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Times New Roman"/>
          <w:color w:val="000000" w:themeColor="text1"/>
          <w:sz w:val="32"/>
          <w:szCs w:val="32"/>
          <w14:textFill>
            <w14:solidFill>
              <w14:schemeClr w14:val="tx1"/>
            </w14:solidFill>
          </w14:textFill>
        </w:rPr>
      </w:pPr>
    </w:p>
    <w:p>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天津科技大学202</w:t>
      </w:r>
      <w:r>
        <w:rPr>
          <w:rFonts w:hint="eastAsia" w:ascii="黑体" w:hAnsi="Times New Roman" w:eastAsia="黑体"/>
          <w:b/>
          <w:sz w:val="36"/>
          <w:szCs w:val="36"/>
          <w:lang w:val="en-US" w:eastAsia="zh-CN"/>
        </w:rPr>
        <w:t>2</w:t>
      </w:r>
      <w:bookmarkStart w:id="0" w:name="_GoBack"/>
      <w:bookmarkEnd w:id="0"/>
      <w:r>
        <w:rPr>
          <w:rFonts w:hint="eastAsia" w:ascii="黑体" w:hAnsi="Times New Roman" w:eastAsia="黑体"/>
          <w:b/>
          <w:sz w:val="36"/>
          <w:szCs w:val="36"/>
        </w:rPr>
        <w:t>年硕士研究生复试</w:t>
      </w:r>
    </w:p>
    <w:p>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考场规则</w:t>
      </w:r>
    </w:p>
    <w:p>
      <w:pPr>
        <w:pStyle w:val="2"/>
        <w:adjustRightInd w:val="0"/>
        <w:snapToGrid w:val="0"/>
        <w:spacing w:line="400" w:lineRule="exact"/>
        <w:ind w:firstLine="598" w:firstLineChars="187"/>
        <w:rPr>
          <w:rFonts w:hAnsi="宋体"/>
          <w:sz w:val="32"/>
          <w:szCs w:val="24"/>
        </w:rPr>
      </w:pP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一、考生应讲诚信并自觉服从考务工作人员管理，不得以任何理由妨碍考务工作人员履行职责，不得扰乱考场（含网络考场）及其他考试工作地点的秩序。</w:t>
      </w:r>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三、考生在复试前须按要求准备、安装、调试相关硬件、软件，确保复试过程中网络通畅，考生要确保设备和软件能够正常使用，在整个复试过程中有足够的电量。</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五、复试各环节考核前，考生须提前2</w:t>
      </w:r>
      <w:r>
        <w:rPr>
          <w:rFonts w:ascii="仿宋" w:hAnsi="仿宋" w:eastAsia="仿宋"/>
          <w:sz w:val="30"/>
          <w:szCs w:val="30"/>
        </w:rPr>
        <w:t>0</w:t>
      </w:r>
      <w:r>
        <w:rPr>
          <w:rFonts w:hint="eastAsia" w:ascii="仿宋" w:hAnsi="仿宋" w:eastAsia="仿宋"/>
          <w:sz w:val="30"/>
          <w:szCs w:val="30"/>
        </w:rPr>
        <w:t>分钟备场，并根据考务工作人员的指令开展身份认证、应试环境展示等系列动作。正式开考后，迟到考生不得入内，视为主动放弃复试资格。</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六、除复试要求的设备和物品外，</w:t>
      </w:r>
      <w:r>
        <w:rPr>
          <w:rFonts w:hint="eastAsia" w:ascii="仿宋" w:hAnsi="仿宋" w:eastAsia="仿宋"/>
          <w:color w:val="000000" w:themeColor="text1"/>
          <w:sz w:val="30"/>
          <w:szCs w:val="30"/>
          <w14:textFill>
            <w14:solidFill>
              <w14:schemeClr w14:val="tx1"/>
            </w14:solidFill>
          </w14:textFill>
        </w:rPr>
        <w:t>复试场所考生座位周围（考生视线范围）内不得存放任何书刊、</w:t>
      </w:r>
      <w:r>
        <w:rPr>
          <w:rFonts w:hint="eastAsia" w:ascii="仿宋" w:hAnsi="仿宋" w:eastAsia="仿宋"/>
          <w:sz w:val="30"/>
          <w:szCs w:val="30"/>
        </w:rPr>
        <w:t>报纸、资料、电子设备等，电脑桌面以及手机不得存放考试相关的电子资料。只允许携带身份证、《准考证》、《复试通知书》、《诚信复试承诺书》，以及复试通知注明的文具。复试过程中考生须配合考务工作人员要求展示相关证件。</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七、复试全程考生应保持注视摄像头，视线不得离开。复试期间不得以任何方式查阅资料。学院有特殊规定者，以学院规定为准。</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八、考生音频</w:t>
      </w:r>
      <w:r>
        <w:rPr>
          <w:rFonts w:hint="eastAsia" w:ascii="仿宋" w:hAnsi="仿宋" w:eastAsia="仿宋"/>
          <w:color w:val="FF0000"/>
          <w:sz w:val="30"/>
          <w:szCs w:val="30"/>
        </w:rPr>
        <w:t>、</w:t>
      </w:r>
      <w:r>
        <w:rPr>
          <w:rFonts w:hint="eastAsia" w:ascii="仿宋" w:hAnsi="仿宋" w:eastAsia="仿宋"/>
          <w:sz w:val="30"/>
          <w:szCs w:val="30"/>
        </w:rPr>
        <w:t>视频必须根据考务工作人员要求进行开启，全程正面免冠朝向摄像头，保证头肩部及双手出现在视频画面正中间。不得佩戴口罩保证面部清晰可见，头发不可遮挡耳朵，不得戴耳饰。</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九、复试过程中，考生遇到网络通讯不畅、听不清问题等情况，应当立即向复试小组反映。</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十、考生未经考务工作人员同意擅自操作复试终端设备退出复试考场的，视为主动放弃复试资格。</w:t>
      </w:r>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十一、复试相关的内容属于国家机密级事项。考生在复试期间不得录屏、录音、录像，考后不得向他人透漏复试内容。</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十二、复试结束，考生应按照考务工作人员要求退出远程复试会场，不得再次返回远程复试会场。</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十三、如不遵守复试纪律，不服从考务工作人员管理，有违纪、作弊等行为的，将按照《国家教育考试违规处理办法》进行处理并记入考生诚信考试电子档案。</w:t>
      </w:r>
    </w:p>
    <w:p>
      <w:pPr>
        <w:pStyle w:val="2"/>
        <w:adjustRightInd w:val="0"/>
        <w:snapToGrid w:val="0"/>
        <w:spacing w:line="440" w:lineRule="exact"/>
        <w:ind w:firstLine="600" w:firstLineChars="200"/>
        <w:rPr>
          <w:rFonts w:ascii="仿宋" w:hAnsi="仿宋" w:eastAsia="仿宋"/>
          <w:sz w:val="30"/>
          <w:szCs w:val="30"/>
        </w:rPr>
      </w:pP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注：考务工作人员确认考生所处环境可以开展复试后，复试正式开始。</w:t>
      </w: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spacing w:line="480" w:lineRule="exact"/>
        <w:ind w:right="600"/>
        <w:rPr>
          <w:rFonts w:hint="eastAsia" w:ascii="仿宋" w:hAnsi="仿宋" w:eastAsia="仿宋"/>
          <w:sz w:val="30"/>
          <w:szCs w:val="30"/>
        </w:rPr>
      </w:pPr>
    </w:p>
    <w:sectPr>
      <w:footerReference r:id="rId3" w:type="default"/>
      <w:pgSz w:w="11906" w:h="16838"/>
      <w:pgMar w:top="1304" w:right="1474" w:bottom="130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231742"/>
    </w:sdtPr>
    <w:sdtEndPr>
      <w:rPr>
        <w:sz w:val="24"/>
      </w:rPr>
    </w:sdtEndPr>
    <w:sdtContent>
      <w:p>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1 -</w:t>
        </w:r>
        <w:r>
          <w:rPr>
            <w:sz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46D8"/>
    <w:rsid w:val="00515214"/>
    <w:rsid w:val="00516009"/>
    <w:rsid w:val="005169E8"/>
    <w:rsid w:val="005206CB"/>
    <w:rsid w:val="0052342B"/>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F2B3E"/>
    <w:rsid w:val="008F4B67"/>
    <w:rsid w:val="008F5E13"/>
    <w:rsid w:val="008F731D"/>
    <w:rsid w:val="00901F54"/>
    <w:rsid w:val="00912E71"/>
    <w:rsid w:val="00913657"/>
    <w:rsid w:val="00915721"/>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9B70445"/>
    <w:rsid w:val="3D022584"/>
    <w:rsid w:val="3D514A2C"/>
    <w:rsid w:val="40CE0273"/>
    <w:rsid w:val="42320031"/>
    <w:rsid w:val="4B795D36"/>
    <w:rsid w:val="4D087E87"/>
    <w:rsid w:val="51F34057"/>
    <w:rsid w:val="539349CB"/>
    <w:rsid w:val="53F71AE1"/>
    <w:rsid w:val="575A3BA7"/>
    <w:rsid w:val="59537C5E"/>
    <w:rsid w:val="5C8F1D81"/>
    <w:rsid w:val="5CF843BF"/>
    <w:rsid w:val="5D85635E"/>
    <w:rsid w:val="5DBB1227"/>
    <w:rsid w:val="604E62B6"/>
    <w:rsid w:val="60651A22"/>
    <w:rsid w:val="63266395"/>
    <w:rsid w:val="65555E43"/>
    <w:rsid w:val="661A3EAB"/>
    <w:rsid w:val="66252CE3"/>
    <w:rsid w:val="6CB32F0B"/>
    <w:rsid w:val="6DA8677F"/>
    <w:rsid w:val="701171E5"/>
    <w:rsid w:val="709B1211"/>
    <w:rsid w:val="70B7146D"/>
    <w:rsid w:val="711C7A63"/>
    <w:rsid w:val="72177166"/>
    <w:rsid w:val="72460ECE"/>
    <w:rsid w:val="73E2793E"/>
    <w:rsid w:val="77EB62BB"/>
    <w:rsid w:val="7834715E"/>
    <w:rsid w:val="7F776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9AE5E-7EA9-49E0-B84B-88E34775EA0B}">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1</TotalTime>
  <ScaleCrop>false</ScaleCrop>
  <LinksUpToDate>false</LinksUpToDate>
  <CharactersWithSpaces>1055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2020-05-01T22:17:00Z</dcterms:created>
  <dc:creator>lilong</dc:creator>
  <cp:lastModifiedBy>Summer&amp;W</cp:lastModifiedBy>
  <cp:lastPrinted>2020-04-20T09:09:00Z</cp:lastPrinted>
  <dcterms:modified xsi:type="dcterms:W3CDTF">2022-03-21T07:50:18Z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10A8D17C5CB844F3BF5B70DD75F14493</vt:lpwstr>
  </property>
</Properties>
</file>