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15548" w14:textId="77777777" w:rsidR="007C173F" w:rsidRDefault="00A16A76">
      <w:pPr>
        <w:kinsoku/>
        <w:spacing w:before="91" w:line="560" w:lineRule="exact"/>
        <w:jc w:val="center"/>
        <w:rPr>
          <w:rFonts w:ascii="宋体" w:eastAsia="宋体" w:hAnsi="宋体" w:cs="宋体"/>
          <w:color w:val="auto"/>
          <w:sz w:val="44"/>
          <w:szCs w:val="36"/>
        </w:rPr>
      </w:pPr>
      <w:r>
        <w:rPr>
          <w:rFonts w:ascii="宋体" w:eastAsia="宋体" w:hAnsi="宋体" w:cs="宋体" w:hint="eastAsia"/>
          <w:b/>
          <w:bCs/>
          <w:color w:val="auto"/>
          <w:spacing w:val="-2"/>
          <w:sz w:val="32"/>
          <w:szCs w:val="32"/>
        </w:rPr>
        <w:t>应用化学专业培养</w:t>
      </w:r>
      <w:r>
        <w:rPr>
          <w:rFonts w:ascii="宋体" w:eastAsia="宋体" w:hAnsi="宋体" w:cs="宋体" w:hint="eastAsia"/>
          <w:b/>
          <w:bCs/>
          <w:color w:val="auto"/>
          <w:spacing w:val="-1"/>
          <w:sz w:val="32"/>
          <w:szCs w:val="32"/>
        </w:rPr>
        <w:t>方案</w:t>
      </w:r>
    </w:p>
    <w:p w14:paraId="0E31756A" w14:textId="77777777" w:rsidR="007C173F" w:rsidRDefault="00A16A76">
      <w:pPr>
        <w:kinsoku/>
        <w:spacing w:line="44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t>一、专业介绍</w:t>
      </w:r>
    </w:p>
    <w:p w14:paraId="4581698B" w14:textId="5F2F75ED" w:rsidR="007C173F" w:rsidRDefault="00A16A76" w:rsidP="00A16A76">
      <w:pPr>
        <w:kinsoku/>
        <w:spacing w:line="440" w:lineRule="exact"/>
        <w:ind w:firstLineChars="200" w:firstLine="488"/>
        <w:jc w:val="both"/>
        <w:rPr>
          <w:rFonts w:asciiTheme="majorEastAsia" w:eastAsiaTheme="majorEastAsia" w:hAnsiTheme="majorEastAsia" w:cstheme="majorEastAsia"/>
          <w:color w:val="auto"/>
          <w:spacing w:val="4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天津科技大学应用化学专业立足我校的轻工底蕴，是以“精细化学品合成及分离分析”为特色的</w:t>
      </w:r>
      <w:r w:rsidR="003B5850"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理科类</w:t>
      </w:r>
      <w:bookmarkStart w:id="0" w:name="_GoBack"/>
      <w:bookmarkEnd w:id="0"/>
      <w:r w:rsidR="003B5850" w:rsidRPr="008E2461"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复合创新型</w:t>
      </w:r>
      <w:r w:rsidR="003B5850"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学术</w:t>
      </w:r>
      <w:r w:rsidR="003B5850" w:rsidRPr="008E2461"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人才</w:t>
      </w:r>
      <w:r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本科专业。构建了基础化学、精细化学品合成、化学品和食品等组分分离分析技术等三大类核心课程群。本专业为天津市一流专业建设点，</w:t>
      </w:r>
      <w:r>
        <w:rPr>
          <w:rFonts w:asciiTheme="majorEastAsia" w:eastAsiaTheme="majorEastAsia" w:hAnsiTheme="majorEastAsia" w:cstheme="majorEastAsia"/>
          <w:color w:val="auto"/>
          <w:spacing w:val="4"/>
          <w:sz w:val="24"/>
          <w:szCs w:val="24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以本专业为主要支撑点的化学学科进入全球</w:t>
      </w:r>
      <w:r>
        <w:rPr>
          <w:rFonts w:asciiTheme="majorEastAsia" w:eastAsiaTheme="majorEastAsia" w:hAnsiTheme="majorEastAsia" w:cstheme="majorEastAsia"/>
          <w:color w:val="auto"/>
          <w:spacing w:val="4"/>
          <w:sz w:val="24"/>
          <w:szCs w:val="24"/>
        </w:rPr>
        <w:t>ESI</w:t>
      </w:r>
      <w:r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学科前</w:t>
      </w:r>
      <w:r>
        <w:rPr>
          <w:rFonts w:asciiTheme="majorEastAsia" w:eastAsiaTheme="majorEastAsia" w:hAnsiTheme="majorEastAsia" w:cstheme="majorEastAsia"/>
          <w:color w:val="auto"/>
          <w:spacing w:val="4"/>
          <w:sz w:val="24"/>
          <w:szCs w:val="24"/>
        </w:rPr>
        <w:t>1%</w:t>
      </w:r>
      <w:r>
        <w:rPr>
          <w:rFonts w:asciiTheme="majorEastAsia" w:eastAsiaTheme="majorEastAsia" w:hAnsiTheme="majorEastAsia" w:cstheme="majorEastAsia" w:hint="eastAsia"/>
          <w:color w:val="auto"/>
          <w:spacing w:val="4"/>
          <w:sz w:val="24"/>
          <w:szCs w:val="24"/>
        </w:rPr>
        <w:t>。</w:t>
      </w:r>
    </w:p>
    <w:p w14:paraId="25F132D5" w14:textId="77777777" w:rsidR="007C173F" w:rsidRDefault="00A16A76">
      <w:pPr>
        <w:kinsoku/>
        <w:spacing w:line="44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t>二、培养目标</w:t>
      </w:r>
    </w:p>
    <w:p w14:paraId="14C92EDA" w14:textId="3111F3BF" w:rsidR="007C173F" w:rsidRDefault="00A16A76" w:rsidP="00A16A76">
      <w:pPr>
        <w:kinsoku/>
        <w:spacing w:line="440" w:lineRule="exact"/>
        <w:ind w:firstLineChars="200" w:firstLine="488"/>
        <w:jc w:val="both"/>
        <w:rPr>
          <w:rFonts w:ascii="宋体" w:eastAsia="宋体" w:hAnsi="宋体" w:cs="宋体"/>
          <w:color w:val="auto"/>
          <w:spacing w:val="4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本专业立足京津冀、面向全国，</w:t>
      </w:r>
      <w:r w:rsidR="00AA5D6D" w:rsidRPr="00AA5D6D"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培养德、智、体、美、</w:t>
      </w:r>
      <w:proofErr w:type="gramStart"/>
      <w:r w:rsidR="00AA5D6D" w:rsidRPr="00AA5D6D"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劳</w:t>
      </w:r>
      <w:proofErr w:type="gramEnd"/>
      <w:r w:rsidR="00AA5D6D" w:rsidRPr="00AA5D6D"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全面发展的社会主义建设者和接班人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。培养学生热爱祖国，</w:t>
      </w:r>
      <w:proofErr w:type="gramStart"/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富有家</w:t>
      </w:r>
      <w:proofErr w:type="gramEnd"/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国情怀，具有良好的职业道德、科学、文化素养和高度的社会责任感。掌握自然科学理论知识和化学专业知识技能，系统掌握精细化学品合成的基本原理及其应用技术，具有创新意识、国际视野以及解决复杂化学问题的能力。培养知识扎实、身心健康，能从事化学、化工、医药、食品、能源、环保等领域的研发、生产和管理工作的</w:t>
      </w:r>
      <w:r w:rsidRPr="00A16A76"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高素质复合型创新型人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人才。</w:t>
      </w:r>
    </w:p>
    <w:p w14:paraId="2C46F72E" w14:textId="52AE015C" w:rsidR="007C173F" w:rsidRDefault="00A16A76" w:rsidP="00A16A76">
      <w:pPr>
        <w:spacing w:line="440" w:lineRule="exact"/>
        <w:ind w:firstLineChars="200" w:firstLine="470"/>
        <w:jc w:val="both"/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目标</w:t>
      </w: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1</w:t>
      </w:r>
      <w:r>
        <w:rPr>
          <w:rFonts w:ascii="Times New Roman" w:eastAsiaTheme="majorEastAsia" w:hAnsi="Times New Roman" w:cs="Times New Roman" w:hint="eastAsia"/>
          <w:b/>
          <w:bCs/>
          <w:color w:val="auto"/>
          <w:spacing w:val="-6"/>
          <w:sz w:val="24"/>
          <w:szCs w:val="24"/>
        </w:rPr>
        <w:t>（职业能力）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：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适应化学工业和区域经济社会发展需要，</w:t>
      </w:r>
      <w:r w:rsidR="00AA5D6D"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具有良好的职业道德和社会责任感，有能力和意愿服务于社会</w:t>
      </w:r>
      <w:r w:rsidR="00AA5D6D"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；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能够在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化学、化工、医药、食品、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能源、环保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等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领域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中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，从事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科学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研究、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技术开发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、生产及经营管理等方面工作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的职业能力；</w:t>
      </w:r>
    </w:p>
    <w:p w14:paraId="5A08BD2D" w14:textId="77777777" w:rsidR="007C173F" w:rsidRDefault="00A16A76" w:rsidP="00A16A76">
      <w:pPr>
        <w:spacing w:line="440" w:lineRule="exact"/>
        <w:ind w:firstLineChars="200" w:firstLine="470"/>
        <w:jc w:val="both"/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目标</w:t>
      </w: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2</w:t>
      </w:r>
      <w:r>
        <w:rPr>
          <w:rFonts w:ascii="Times New Roman" w:eastAsiaTheme="majorEastAsia" w:hAnsi="Times New Roman" w:cs="Times New Roman" w:hint="eastAsia"/>
          <w:b/>
          <w:bCs/>
          <w:color w:val="auto"/>
          <w:spacing w:val="-6"/>
          <w:sz w:val="24"/>
          <w:szCs w:val="24"/>
        </w:rPr>
        <w:t>（专业能力）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：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具备设计和实施化学产品合成和分离分析的实验能力；具有综合运用化学专业的理论和技术手段，对新产品、新技术进行研究、开发和综合设计的能力；具有适应社会发展、终身学习能力；</w:t>
      </w:r>
    </w:p>
    <w:p w14:paraId="1C4E4EFA" w14:textId="793A752C" w:rsidR="007C173F" w:rsidRDefault="00A16A76" w:rsidP="00A16A76">
      <w:pPr>
        <w:spacing w:line="440" w:lineRule="exact"/>
        <w:ind w:firstLineChars="200" w:firstLine="470"/>
        <w:jc w:val="both"/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目标</w:t>
      </w: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3</w:t>
      </w:r>
      <w:r>
        <w:rPr>
          <w:rFonts w:ascii="Times New Roman" w:eastAsiaTheme="majorEastAsia" w:hAnsi="Times New Roman" w:cs="Times New Roman" w:hint="eastAsia"/>
          <w:b/>
          <w:bCs/>
          <w:color w:val="auto"/>
          <w:spacing w:val="-6"/>
          <w:sz w:val="24"/>
          <w:szCs w:val="24"/>
        </w:rPr>
        <w:t>（科学素养）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：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具有扎实的数学、物理等科学基础知识以及一定的经济和管理知识；</w:t>
      </w:r>
      <w:r>
        <w:rPr>
          <w:rFonts w:ascii="宋体" w:eastAsia="宋体" w:hAnsi="宋体" w:cs="宋体"/>
          <w:color w:val="auto"/>
          <w:spacing w:val="4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掌握化学学科基本理论和专业知识；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能够在化学、化工的工作实践中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体现创新意识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，遵循社会、文化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、公共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健康、安全、法律、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伦理</w:t>
      </w:r>
      <w:r>
        <w:rPr>
          <w:rFonts w:ascii="Times New Roman" w:eastAsiaTheme="majorEastAsia" w:hAnsi="Times New Roman" w:cs="Times New Roman"/>
          <w:color w:val="auto"/>
          <w:spacing w:val="-6"/>
          <w:sz w:val="24"/>
          <w:szCs w:val="24"/>
        </w:rPr>
        <w:t>、环境和可持续发展等方面的要求，保证公共健康和安全；</w:t>
      </w:r>
    </w:p>
    <w:p w14:paraId="03388851" w14:textId="77777777" w:rsidR="007C173F" w:rsidRDefault="00A16A76" w:rsidP="00A16A76">
      <w:pPr>
        <w:kinsoku/>
        <w:spacing w:line="440" w:lineRule="exact"/>
        <w:ind w:firstLineChars="200" w:firstLine="470"/>
        <w:jc w:val="both"/>
        <w:rPr>
          <w:rFonts w:ascii="宋体" w:eastAsia="宋体" w:hAnsi="宋体" w:cs="宋体"/>
          <w:color w:val="auto"/>
          <w:spacing w:val="4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目标</w:t>
      </w:r>
      <w:r>
        <w:rPr>
          <w:rFonts w:ascii="Times New Roman" w:eastAsiaTheme="majorEastAsia" w:hAnsi="Times New Roman" w:cs="Times New Roman"/>
          <w:b/>
          <w:bCs/>
          <w:color w:val="auto"/>
          <w:spacing w:val="-6"/>
          <w:sz w:val="24"/>
          <w:szCs w:val="24"/>
        </w:rPr>
        <w:t>4</w:t>
      </w:r>
      <w:r>
        <w:rPr>
          <w:rFonts w:ascii="Times New Roman" w:eastAsiaTheme="majorEastAsia" w:hAnsi="Times New Roman" w:cs="Times New Roman" w:hint="eastAsia"/>
          <w:b/>
          <w:bCs/>
          <w:color w:val="auto"/>
          <w:spacing w:val="-6"/>
          <w:sz w:val="24"/>
          <w:szCs w:val="24"/>
        </w:rPr>
        <w:t>（发展能力）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：能够主动更新知识，具有国际视野、自我发展和终身学习的习惯与能力，能够主动适应职业环境的变化和社会发展，能够在多学科背景下的团队中发挥作用，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具有深厚的爱国主义情怀，积极投身社会主义建设事业，培养学生能够在社会中表现出良好的人文科学素养、职业修养、职业道德和社会责任感</w:t>
      </w:r>
      <w:r>
        <w:rPr>
          <w:rFonts w:ascii="Times New Roman" w:eastAsiaTheme="majorEastAsia" w:hAnsi="Times New Roman" w:cs="Times New Roman" w:hint="eastAsia"/>
          <w:color w:val="auto"/>
          <w:spacing w:val="-6"/>
          <w:sz w:val="24"/>
          <w:szCs w:val="24"/>
        </w:rPr>
        <w:t>。</w:t>
      </w:r>
    </w:p>
    <w:p w14:paraId="7592DAD8" w14:textId="77777777" w:rsidR="007C173F" w:rsidRDefault="00A16A76">
      <w:pPr>
        <w:kinsoku/>
        <w:spacing w:line="44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t>三、毕业要求</w:t>
      </w:r>
    </w:p>
    <w:p w14:paraId="3DC07322" w14:textId="77777777" w:rsidR="007C173F" w:rsidRDefault="00A16A76" w:rsidP="00A16A76">
      <w:pPr>
        <w:kinsoku/>
        <w:spacing w:line="440" w:lineRule="exact"/>
        <w:ind w:firstLineChars="200" w:firstLine="502"/>
        <w:jc w:val="both"/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本专业学生要掌握自然科学理论知识和化学专业知识技能，系统掌握精细化学品合成的基本原理及其应用技术，具有创新意识、国际视野以及解决复杂化学问题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lastRenderedPageBreak/>
        <w:t>的能力，能从事化学、化工、医药、食品、能源环保等领域的研发、生产和管理工作，本专业毕业生应满足如下在知识、能力和素质等方面的要求：</w:t>
      </w:r>
    </w:p>
    <w:p w14:paraId="1B0DB7C5" w14:textId="77777777" w:rsidR="007C173F" w:rsidRDefault="00A16A76" w:rsidP="00A16A76">
      <w:pPr>
        <w:kinsoku/>
        <w:spacing w:line="440" w:lineRule="exact"/>
        <w:ind w:firstLineChars="200" w:firstLine="502"/>
        <w:jc w:val="both"/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</w:pP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1.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科学基础知识：能够综合运用数学、自然科学、工程基础和专业知识解决化学化工过程中的基础科学及其工程问题。</w:t>
      </w:r>
    </w:p>
    <w:p w14:paraId="784FC0ED" w14:textId="77777777" w:rsidR="007C173F" w:rsidRDefault="00A16A76" w:rsidP="00A16A76">
      <w:pPr>
        <w:kinsoku/>
        <w:spacing w:line="440" w:lineRule="exact"/>
        <w:ind w:firstLineChars="200" w:firstLine="502"/>
        <w:jc w:val="both"/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</w:pP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2.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问题分析：能够综合运用数学、自然科学的基本原理和</w:t>
      </w:r>
      <w:r>
        <w:rPr>
          <w:rFonts w:ascii="Times New Roman" w:eastAsia="宋体" w:hAnsi="Times New Roman" w:cs="Times New Roman" w:hint="eastAsia"/>
          <w:color w:val="auto"/>
          <w:sz w:val="24"/>
        </w:rPr>
        <w:t>第一性原理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，并通过文献研究和实际调研，识别、表达、分析复杂化学化工基础科学问题，</w:t>
      </w:r>
      <w:r>
        <w:rPr>
          <w:rFonts w:ascii="Times New Roman" w:eastAsia="宋体" w:hAnsi="Times New Roman" w:cs="Times New Roman" w:hint="eastAsia"/>
          <w:color w:val="auto"/>
          <w:sz w:val="24"/>
        </w:rPr>
        <w:t>综合考虑可持续发展的要求，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以获得有效结论。</w:t>
      </w:r>
    </w:p>
    <w:p w14:paraId="26A9456D" w14:textId="77777777" w:rsidR="007C173F" w:rsidRDefault="00A16A76" w:rsidP="00A16A76">
      <w:pPr>
        <w:kinsoku/>
        <w:spacing w:line="440" w:lineRule="exact"/>
        <w:ind w:firstLineChars="200" w:firstLine="502"/>
        <w:jc w:val="both"/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</w:pP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3.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设计</w:t>
      </w: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/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解决方案：能够设计针对复杂化学问题的</w:t>
      </w:r>
      <w:r>
        <w:rPr>
          <w:rFonts w:ascii="Times New Roman" w:eastAsia="宋体" w:hAnsi="Times New Roman" w:cs="Times New Roman" w:hint="eastAsia"/>
          <w:color w:val="auto"/>
          <w:sz w:val="24"/>
        </w:rPr>
        <w:t>开发和设计创新性解决方案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，设计满足特定需求的反应设备、工艺和开发化学品，并能够在设计过程中体现创新意识，</w:t>
      </w:r>
      <w:r>
        <w:rPr>
          <w:rFonts w:ascii="Times New Roman" w:eastAsia="宋体" w:hAnsi="Times New Roman" w:cs="Times New Roman" w:hint="eastAsia"/>
          <w:color w:val="auto"/>
          <w:sz w:val="24"/>
        </w:rPr>
        <w:t>并从公共健康与安全、全生命周期成本与</w:t>
      </w:r>
      <w:proofErr w:type="gramStart"/>
      <w:r>
        <w:rPr>
          <w:rFonts w:ascii="Times New Roman" w:eastAsia="宋体" w:hAnsi="Times New Roman" w:cs="Times New Roman" w:hint="eastAsia"/>
          <w:color w:val="auto"/>
          <w:sz w:val="24"/>
        </w:rPr>
        <w:t>净零碳</w:t>
      </w:r>
      <w:proofErr w:type="gramEnd"/>
      <w:r>
        <w:rPr>
          <w:rFonts w:ascii="Times New Roman" w:eastAsia="宋体" w:hAnsi="Times New Roman" w:cs="Times New Roman" w:hint="eastAsia"/>
          <w:color w:val="auto"/>
          <w:sz w:val="24"/>
        </w:rPr>
        <w:t>要求、法律与伦理、社会与文化等角度考虑方案的可行性。</w:t>
      </w:r>
    </w:p>
    <w:p w14:paraId="46D92DDB" w14:textId="77777777" w:rsidR="007C173F" w:rsidRDefault="00A16A76" w:rsidP="00A16A76">
      <w:pPr>
        <w:kinsoku/>
        <w:spacing w:line="440" w:lineRule="exact"/>
        <w:ind w:firstLineChars="200" w:firstLine="502"/>
        <w:jc w:val="both"/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</w:pP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4.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研究：能够基于科学原理并采用科学方法对复杂化学问题进行研究，包括设计实验、实施实验、分析与解释数据，并通过信息综合得到合理有效的结论。</w:t>
      </w:r>
    </w:p>
    <w:p w14:paraId="14C0FA6F" w14:textId="77777777" w:rsidR="007C173F" w:rsidRDefault="00A16A76" w:rsidP="00A16A76">
      <w:pPr>
        <w:kinsoku/>
        <w:spacing w:line="440" w:lineRule="exact"/>
        <w:ind w:firstLineChars="200" w:firstLine="502"/>
        <w:jc w:val="both"/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</w:pP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5.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使用现代工具：能够针对复杂化学问题，开发、选择与使用恰当的技术、资源、现代工程工具和信息技术工具，包括对复杂化学问题的预测与模拟，并能够理解其局限性。</w:t>
      </w:r>
    </w:p>
    <w:p w14:paraId="4A543FED" w14:textId="77777777" w:rsidR="007C173F" w:rsidRDefault="00A16A76" w:rsidP="00A16A76">
      <w:pPr>
        <w:kinsoku/>
        <w:spacing w:line="440" w:lineRule="exact"/>
        <w:ind w:firstLineChars="200" w:firstLine="502"/>
        <w:jc w:val="both"/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</w:pP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6.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 xml:space="preserve"> 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>工程与</w:t>
      </w: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>可持续发展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：能够基于化学化工相关背景知识进行合理分析，评价化学专业实践和复杂化学问题解决方案对</w:t>
      </w:r>
      <w:r>
        <w:rPr>
          <w:rFonts w:ascii="Times New Roman" w:eastAsia="宋体" w:hAnsi="Times New Roman" w:cs="Times New Roman" w:hint="eastAsia"/>
          <w:color w:val="auto"/>
          <w:sz w:val="24"/>
        </w:rPr>
        <w:t>对健康、安全、环境、法律以及经济和社会可持续发展的影响，并理解应承担的责任。</w:t>
      </w:r>
    </w:p>
    <w:p w14:paraId="0444A582" w14:textId="77777777" w:rsidR="007C173F" w:rsidRDefault="00A16A76" w:rsidP="00A16A76">
      <w:pPr>
        <w:spacing w:line="440" w:lineRule="exact"/>
        <w:ind w:firstLineChars="200" w:firstLine="502"/>
        <w:rPr>
          <w:rFonts w:ascii="Times New Roman" w:eastAsia="宋体" w:hAnsi="Times New Roman" w:cs="Times New Roman"/>
          <w:color w:val="auto"/>
          <w:sz w:val="24"/>
        </w:rPr>
      </w:pPr>
      <w:r>
        <w:rPr>
          <w:rFonts w:asciiTheme="majorEastAsia" w:eastAsiaTheme="majorEastAsia" w:hAnsiTheme="majorEastAsia" w:cstheme="majorEastAsia"/>
          <w:color w:val="auto"/>
          <w:spacing w:val="11"/>
          <w:sz w:val="24"/>
          <w:szCs w:val="24"/>
        </w:rPr>
        <w:t>7.</w:t>
      </w: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>伦理和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>职业规范：</w:t>
      </w:r>
      <w:r>
        <w:rPr>
          <w:rFonts w:ascii="Times New Roman" w:eastAsia="宋体" w:hAnsi="Times New Roman" w:cs="Times New Roman" w:hint="eastAsia"/>
          <w:color w:val="auto"/>
          <w:sz w:val="24"/>
        </w:rPr>
        <w:t>有科学报国、科学为民的意识，</w:t>
      </w:r>
      <w:r>
        <w:rPr>
          <w:rFonts w:ascii="Times New Roman" w:eastAsia="宋体" w:hAnsi="Times New Roman" w:cs="Times New Roman"/>
          <w:color w:val="auto"/>
          <w:sz w:val="24"/>
        </w:rPr>
        <w:t>具有人文社会科学素养、社会责任感，</w:t>
      </w:r>
      <w:r>
        <w:rPr>
          <w:rFonts w:ascii="Times New Roman" w:eastAsia="宋体" w:hAnsi="Times New Roman" w:cs="Times New Roman" w:hint="eastAsia"/>
          <w:color w:val="auto"/>
          <w:sz w:val="24"/>
        </w:rPr>
        <w:t>能够理解和应用工程伦理，</w:t>
      </w:r>
      <w:r>
        <w:rPr>
          <w:rFonts w:ascii="Times New Roman" w:eastAsia="宋体" w:hAnsi="Times New Roman" w:cs="Times New Roman"/>
          <w:color w:val="auto"/>
          <w:sz w:val="24"/>
        </w:rPr>
        <w:t>能够在化学科学实践中理解并遵守化学职业道德</w:t>
      </w:r>
      <w:r>
        <w:rPr>
          <w:rFonts w:ascii="Times New Roman" w:eastAsia="宋体" w:hAnsi="Times New Roman" w:cs="Times New Roman" w:hint="eastAsia"/>
          <w:color w:val="auto"/>
          <w:sz w:val="24"/>
        </w:rPr>
        <w:t>、</w:t>
      </w:r>
      <w:r>
        <w:rPr>
          <w:rFonts w:ascii="Times New Roman" w:eastAsia="宋体" w:hAnsi="Times New Roman" w:cs="Times New Roman"/>
          <w:color w:val="auto"/>
          <w:sz w:val="24"/>
        </w:rPr>
        <w:t>规范</w:t>
      </w:r>
      <w:r>
        <w:rPr>
          <w:rFonts w:ascii="Times New Roman" w:eastAsia="宋体" w:hAnsi="Times New Roman" w:cs="Times New Roman" w:hint="eastAsia"/>
          <w:color w:val="auto"/>
          <w:sz w:val="24"/>
        </w:rPr>
        <w:t>和相关法律</w:t>
      </w:r>
      <w:r>
        <w:rPr>
          <w:rFonts w:ascii="Times New Roman" w:eastAsia="宋体" w:hAnsi="Times New Roman" w:cs="Times New Roman"/>
          <w:color w:val="auto"/>
          <w:sz w:val="24"/>
        </w:rPr>
        <w:t>，履行责任。</w:t>
      </w:r>
    </w:p>
    <w:p w14:paraId="4C82DF49" w14:textId="77777777" w:rsidR="007C173F" w:rsidRDefault="00A16A76">
      <w:pPr>
        <w:spacing w:line="440" w:lineRule="exact"/>
        <w:ind w:firstLineChars="200" w:firstLine="482"/>
        <w:rPr>
          <w:rFonts w:ascii="Times New Roman" w:eastAsia="宋体" w:hAnsi="Times New Roman" w:cs="Times New Roman"/>
          <w:color w:val="auto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>8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 xml:space="preserve">. 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>个人和团队：</w:t>
      </w:r>
      <w:r>
        <w:rPr>
          <w:rFonts w:ascii="Times New Roman" w:eastAsia="宋体" w:hAnsi="Times New Roman" w:cs="Times New Roman"/>
          <w:color w:val="auto"/>
          <w:sz w:val="24"/>
        </w:rPr>
        <w:t>能够在</w:t>
      </w:r>
      <w:r>
        <w:rPr>
          <w:rFonts w:ascii="Times New Roman" w:eastAsia="宋体" w:hAnsi="Times New Roman" w:cs="Times New Roman" w:hint="eastAsia"/>
          <w:color w:val="auto"/>
          <w:sz w:val="24"/>
        </w:rPr>
        <w:t>多样化、</w:t>
      </w:r>
      <w:r>
        <w:rPr>
          <w:rFonts w:ascii="Times New Roman" w:eastAsia="宋体" w:hAnsi="Times New Roman" w:cs="Times New Roman"/>
          <w:color w:val="auto"/>
          <w:sz w:val="24"/>
        </w:rPr>
        <w:t>多学科背景下的团队中承担个体、团队成员以及负责人的角色。</w:t>
      </w:r>
    </w:p>
    <w:p w14:paraId="0DC5CC99" w14:textId="77777777" w:rsidR="007C173F" w:rsidRDefault="00A16A76">
      <w:pPr>
        <w:spacing w:line="440" w:lineRule="exact"/>
        <w:ind w:firstLineChars="200" w:firstLine="482"/>
        <w:rPr>
          <w:rFonts w:ascii="Times New Roman" w:eastAsia="宋体" w:hAnsi="Times New Roman" w:cs="Times New Roman"/>
          <w:color w:val="auto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>9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 xml:space="preserve">. 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>沟通：</w:t>
      </w:r>
      <w:r>
        <w:rPr>
          <w:rFonts w:ascii="Times New Roman" w:eastAsia="宋体" w:hAnsi="Times New Roman" w:cs="Times New Roman"/>
          <w:color w:val="auto"/>
          <w:sz w:val="24"/>
        </w:rPr>
        <w:t>能够就复杂化学问题与业界同行及社会公众进行有效沟通和交流，包括撰写报告和设计文稿、陈述发言、清晰表达或回应指令，并具备一定的国际视野，能够在跨文化背景下进行沟通和交流</w:t>
      </w:r>
      <w:r>
        <w:rPr>
          <w:rFonts w:ascii="Times New Roman" w:eastAsia="宋体" w:hAnsi="Times New Roman" w:cs="Times New Roman" w:hint="eastAsia"/>
          <w:color w:val="auto"/>
          <w:sz w:val="24"/>
        </w:rPr>
        <w:t>，理解、尊重语言和文化差异</w:t>
      </w:r>
      <w:r>
        <w:rPr>
          <w:rFonts w:ascii="Times New Roman" w:eastAsia="宋体" w:hAnsi="Times New Roman" w:cs="Times New Roman"/>
          <w:color w:val="auto"/>
          <w:sz w:val="24"/>
        </w:rPr>
        <w:t>。</w:t>
      </w:r>
    </w:p>
    <w:p w14:paraId="587D6D87" w14:textId="77777777" w:rsidR="007C173F" w:rsidRDefault="00A16A76">
      <w:pPr>
        <w:spacing w:line="440" w:lineRule="exact"/>
        <w:ind w:firstLineChars="200" w:firstLine="482"/>
        <w:rPr>
          <w:rFonts w:ascii="Times New Roman" w:eastAsia="宋体" w:hAnsi="Times New Roman" w:cs="Times New Roman"/>
          <w:color w:val="auto"/>
          <w:sz w:val="24"/>
        </w:rPr>
      </w:pPr>
      <w:r>
        <w:rPr>
          <w:rFonts w:ascii="Times New Roman" w:eastAsia="宋体" w:hAnsi="Times New Roman" w:cs="Times New Roman"/>
          <w:b/>
          <w:bCs/>
          <w:color w:val="auto"/>
          <w:sz w:val="24"/>
        </w:rPr>
        <w:t>1</w:t>
      </w: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>0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 xml:space="preserve">. 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>项目管理</w:t>
      </w: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>和财务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>：</w:t>
      </w:r>
      <w:r>
        <w:rPr>
          <w:rFonts w:ascii="Times New Roman" w:eastAsia="宋体" w:hAnsi="Times New Roman" w:cs="Times New Roman"/>
          <w:color w:val="auto"/>
          <w:sz w:val="24"/>
        </w:rPr>
        <w:t>理解并掌握</w:t>
      </w:r>
      <w:r>
        <w:rPr>
          <w:rFonts w:asciiTheme="majorEastAsia" w:eastAsiaTheme="majorEastAsia" w:hAnsiTheme="majorEastAsia" w:cstheme="majorEastAsia" w:hint="eastAsia"/>
          <w:color w:val="auto"/>
          <w:spacing w:val="11"/>
          <w:sz w:val="24"/>
          <w:szCs w:val="24"/>
        </w:rPr>
        <w:t>化学化工</w:t>
      </w:r>
      <w:r>
        <w:rPr>
          <w:rFonts w:ascii="Times New Roman" w:eastAsia="宋体" w:hAnsi="Times New Roman" w:cs="Times New Roman" w:hint="eastAsia"/>
          <w:color w:val="auto"/>
          <w:sz w:val="24"/>
        </w:rPr>
        <w:t>领域项目相关的</w:t>
      </w:r>
      <w:r>
        <w:rPr>
          <w:rFonts w:ascii="Times New Roman" w:eastAsia="宋体" w:hAnsi="Times New Roman" w:cs="Times New Roman"/>
          <w:color w:val="auto"/>
          <w:sz w:val="24"/>
        </w:rPr>
        <w:t>管理原理与经济决策方法，并能在多学科环境中应用。</w:t>
      </w:r>
    </w:p>
    <w:p w14:paraId="5EDFB67F" w14:textId="77777777" w:rsidR="007C173F" w:rsidRDefault="00A16A76">
      <w:pPr>
        <w:spacing w:line="440" w:lineRule="exact"/>
        <w:ind w:firstLineChars="200" w:firstLine="482"/>
        <w:rPr>
          <w:rFonts w:ascii="Times New Roman" w:eastAsia="宋体" w:hAnsi="Times New Roman" w:cs="Times New Roman"/>
          <w:color w:val="auto"/>
          <w:sz w:val="24"/>
        </w:rPr>
      </w:pPr>
      <w:r>
        <w:rPr>
          <w:rFonts w:ascii="Times New Roman" w:eastAsia="宋体" w:hAnsi="Times New Roman" w:cs="Times New Roman"/>
          <w:b/>
          <w:bCs/>
          <w:color w:val="auto"/>
          <w:sz w:val="24"/>
        </w:rPr>
        <w:t>1</w:t>
      </w:r>
      <w:r>
        <w:rPr>
          <w:rFonts w:ascii="Times New Roman" w:eastAsia="宋体" w:hAnsi="Times New Roman" w:cs="Times New Roman" w:hint="eastAsia"/>
          <w:b/>
          <w:bCs/>
          <w:color w:val="auto"/>
          <w:sz w:val="24"/>
        </w:rPr>
        <w:t>1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 xml:space="preserve">. </w:t>
      </w:r>
      <w:r>
        <w:rPr>
          <w:rFonts w:ascii="Times New Roman" w:eastAsia="宋体" w:hAnsi="Times New Roman" w:cs="Times New Roman"/>
          <w:b/>
          <w:bCs/>
          <w:color w:val="auto"/>
          <w:sz w:val="24"/>
        </w:rPr>
        <w:t>终身学习：</w:t>
      </w:r>
      <w:r>
        <w:rPr>
          <w:rFonts w:ascii="Times New Roman" w:eastAsia="宋体" w:hAnsi="Times New Roman" w:cs="Times New Roman"/>
          <w:color w:val="auto"/>
          <w:sz w:val="24"/>
        </w:rPr>
        <w:t>具有自主学习和终身学习的意识</w:t>
      </w:r>
      <w:r>
        <w:rPr>
          <w:rFonts w:ascii="Times New Roman" w:eastAsia="宋体" w:hAnsi="Times New Roman" w:cs="Times New Roman" w:hint="eastAsia"/>
          <w:color w:val="auto"/>
          <w:sz w:val="24"/>
        </w:rPr>
        <w:t>和能力，能够理解广泛的技术变革对工程和社会的影响，适应新技术变革，具有批判性思维能力</w:t>
      </w:r>
      <w:r>
        <w:rPr>
          <w:rFonts w:ascii="Times New Roman" w:eastAsia="宋体" w:hAnsi="Times New Roman" w:cs="Times New Roman"/>
          <w:color w:val="auto"/>
          <w:sz w:val="24"/>
        </w:rPr>
        <w:t>。</w:t>
      </w:r>
    </w:p>
    <w:p w14:paraId="6E8FABED" w14:textId="77777777" w:rsidR="007C173F" w:rsidRDefault="00A16A76">
      <w:pPr>
        <w:kinsoku/>
        <w:spacing w:line="44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lastRenderedPageBreak/>
        <w:t>四、毕业要求对培养目标的支撑</w:t>
      </w:r>
    </w:p>
    <w:p w14:paraId="6E195EC7" w14:textId="77777777" w:rsidR="007C173F" w:rsidRDefault="00A16A76">
      <w:pPr>
        <w:spacing w:line="440" w:lineRule="exact"/>
        <w:ind w:firstLineChars="200" w:firstLine="480"/>
        <w:rPr>
          <w:rFonts w:ascii="Times New Roman" w:eastAsia="宋体" w:hAnsi="Times New Roman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为保证本专业学生满足知识、能力和素质的达成，本专业设置了完善的课程体系，其中包括理论教学、实验实践教学、实习教学、课程设计、毕业设计</w:t>
      </w:r>
      <w:r>
        <w:rPr>
          <w:rFonts w:ascii="宋体" w:eastAsia="宋体" w:hAnsi="宋体" w:cs="宋体"/>
          <w:color w:val="auto"/>
          <w:sz w:val="24"/>
          <w:szCs w:val="24"/>
        </w:rPr>
        <w:t>/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论文、学科竞赛、创新创业训练项目等教学环节。</w:t>
      </w:r>
      <w:r>
        <w:rPr>
          <w:rFonts w:ascii="Times New Roman" w:eastAsia="宋体" w:hAnsi="Times New Roman"/>
          <w:color w:val="auto"/>
          <w:sz w:val="24"/>
          <w:szCs w:val="24"/>
        </w:rPr>
        <w:t>本专业毕业要求对培养目标的支撑关系见</w:t>
      </w:r>
      <w:r>
        <w:rPr>
          <w:rFonts w:ascii="Times New Roman" w:eastAsia="宋体" w:hAnsi="Times New Roman" w:hint="eastAsia"/>
          <w:color w:val="auto"/>
          <w:sz w:val="24"/>
          <w:szCs w:val="24"/>
        </w:rPr>
        <w:t>下</w:t>
      </w:r>
      <w:r>
        <w:rPr>
          <w:rFonts w:ascii="Times New Roman" w:eastAsia="宋体" w:hAnsi="Times New Roman"/>
          <w:color w:val="auto"/>
          <w:sz w:val="24"/>
          <w:szCs w:val="24"/>
        </w:rPr>
        <w:t>表。</w:t>
      </w:r>
    </w:p>
    <w:p w14:paraId="50FFD21E" w14:textId="77777777" w:rsidR="007C173F" w:rsidRDefault="007C173F" w:rsidP="00A16A76">
      <w:pPr>
        <w:spacing w:line="560" w:lineRule="exact"/>
        <w:ind w:firstLineChars="200" w:firstLine="570"/>
        <w:rPr>
          <w:rFonts w:ascii="黑体" w:eastAsia="黑体" w:hAnsi="黑体" w:cs="黑体"/>
          <w:b/>
          <w:bCs/>
          <w:color w:val="auto"/>
          <w:spacing w:val="4"/>
          <w:sz w:val="28"/>
          <w:szCs w:val="28"/>
        </w:rPr>
      </w:pPr>
    </w:p>
    <w:p w14:paraId="42151850" w14:textId="77777777" w:rsidR="007C173F" w:rsidRDefault="00A16A76">
      <w:pPr>
        <w:spacing w:line="360" w:lineRule="auto"/>
        <w:ind w:firstLine="420"/>
        <w:jc w:val="center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毕业要求对培养目标的支撑表</w:t>
      </w:r>
    </w:p>
    <w:tbl>
      <w:tblPr>
        <w:tblStyle w:val="a7"/>
        <w:tblW w:w="8118" w:type="dxa"/>
        <w:jc w:val="center"/>
        <w:tblLook w:val="04A0" w:firstRow="1" w:lastRow="0" w:firstColumn="1" w:lastColumn="0" w:noHBand="0" w:noVBand="1"/>
      </w:tblPr>
      <w:tblGrid>
        <w:gridCol w:w="1738"/>
        <w:gridCol w:w="1595"/>
        <w:gridCol w:w="1595"/>
        <w:gridCol w:w="1595"/>
        <w:gridCol w:w="1595"/>
      </w:tblGrid>
      <w:tr w:rsidR="007C173F" w14:paraId="32CB50C1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3E5297F8" w14:textId="77777777" w:rsidR="007C173F" w:rsidRDefault="007C173F">
            <w:pPr>
              <w:spacing w:line="360" w:lineRule="auto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19CD5F2" w14:textId="77777777" w:rsidR="007C173F" w:rsidRDefault="00A16A76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培</w:t>
            </w:r>
            <w:r>
              <w:rPr>
                <w:rFonts w:ascii="Times New Roman" w:hAnsi="Times New Roman" w:cs="Times New Roman"/>
                <w:color w:val="auto"/>
              </w:rPr>
              <w:t>养目标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14:paraId="78C85803" w14:textId="77777777" w:rsidR="007C173F" w:rsidRDefault="00A16A76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培</w:t>
            </w:r>
            <w:r>
              <w:rPr>
                <w:rFonts w:ascii="Times New Roman" w:hAnsi="Times New Roman" w:cs="Times New Roman"/>
                <w:color w:val="auto"/>
              </w:rPr>
              <w:t>养目标</w:t>
            </w: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vAlign w:val="center"/>
          </w:tcPr>
          <w:p w14:paraId="38E566A6" w14:textId="77777777" w:rsidR="007C173F" w:rsidRDefault="00A16A76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培</w:t>
            </w:r>
            <w:r>
              <w:rPr>
                <w:rFonts w:ascii="Times New Roman" w:hAnsi="Times New Roman" w:cs="Times New Roman"/>
                <w:color w:val="auto"/>
              </w:rPr>
              <w:t>养目标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vAlign w:val="center"/>
          </w:tcPr>
          <w:p w14:paraId="539FC166" w14:textId="77777777" w:rsidR="007C173F" w:rsidRDefault="00A16A76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培</w:t>
            </w:r>
            <w:r>
              <w:rPr>
                <w:rFonts w:ascii="Times New Roman" w:hAnsi="Times New Roman" w:cs="Times New Roman"/>
                <w:color w:val="auto"/>
              </w:rPr>
              <w:t>养目标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7C173F" w14:paraId="20CC385D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3CE5C8C4" w14:textId="77777777" w:rsidR="007C173F" w:rsidRDefault="00A16A76">
            <w:pPr>
              <w:spacing w:line="3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14:paraId="5653DA13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69E1E0B1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1975E5AE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5AF915F5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2188B3C7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559B11E3" w14:textId="77777777" w:rsidR="007C173F" w:rsidRDefault="00A16A76">
            <w:pPr>
              <w:spacing w:line="3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vAlign w:val="center"/>
          </w:tcPr>
          <w:p w14:paraId="390A23F5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55123675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36C01925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29176D6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16ACA122" w14:textId="77777777">
        <w:trPr>
          <w:trHeight w:val="379"/>
          <w:jc w:val="center"/>
        </w:trPr>
        <w:tc>
          <w:tcPr>
            <w:tcW w:w="0" w:type="auto"/>
            <w:vAlign w:val="center"/>
          </w:tcPr>
          <w:p w14:paraId="1465B071" w14:textId="77777777" w:rsidR="007C173F" w:rsidRDefault="00A16A76">
            <w:pPr>
              <w:spacing w:line="3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vAlign w:val="center"/>
          </w:tcPr>
          <w:p w14:paraId="1C2E8CAF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40D7E0CD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34D80066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5D94206B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21E924D3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77AE5D48" w14:textId="77777777" w:rsidR="007C173F" w:rsidRDefault="00A16A76">
            <w:pPr>
              <w:spacing w:line="3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vAlign w:val="center"/>
          </w:tcPr>
          <w:p w14:paraId="773D7B61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CB32B8E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509AAF0A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593A0546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36715FC0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083676B1" w14:textId="77777777" w:rsidR="007C173F" w:rsidRDefault="00A16A76">
            <w:pPr>
              <w:spacing w:line="3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vAlign w:val="center"/>
          </w:tcPr>
          <w:p w14:paraId="2C741515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7C59839E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111B3F0F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5D4EE343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6018830C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36731D7F" w14:textId="77777777" w:rsidR="007C173F" w:rsidRDefault="00A16A76">
            <w:pPr>
              <w:spacing w:line="32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0" w:type="auto"/>
            <w:vAlign w:val="center"/>
          </w:tcPr>
          <w:p w14:paraId="793F5551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DB90FDF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FA292D7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6AE7F7C0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246D274F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27685EC5" w14:textId="77777777" w:rsidR="007C173F" w:rsidRDefault="00A16A76">
            <w:pPr>
              <w:spacing w:line="320" w:lineRule="exact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7</w:t>
            </w:r>
          </w:p>
        </w:tc>
        <w:tc>
          <w:tcPr>
            <w:tcW w:w="0" w:type="auto"/>
            <w:vAlign w:val="center"/>
          </w:tcPr>
          <w:p w14:paraId="6A086542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5F218FEF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259BA070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5E66AFA5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4D7792EF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0A89B76D" w14:textId="77777777" w:rsidR="007C173F" w:rsidRDefault="00A16A76">
            <w:pPr>
              <w:spacing w:line="320" w:lineRule="exact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8</w:t>
            </w:r>
          </w:p>
        </w:tc>
        <w:tc>
          <w:tcPr>
            <w:tcW w:w="0" w:type="auto"/>
            <w:vAlign w:val="center"/>
          </w:tcPr>
          <w:p w14:paraId="604E8D23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40896EED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7371538F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5D9F9081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</w:tr>
      <w:tr w:rsidR="007C173F" w14:paraId="6A23A1BB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7F4CAE24" w14:textId="77777777" w:rsidR="007C173F" w:rsidRDefault="00A16A76">
            <w:pPr>
              <w:spacing w:line="320" w:lineRule="exact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9</w:t>
            </w:r>
          </w:p>
        </w:tc>
        <w:tc>
          <w:tcPr>
            <w:tcW w:w="0" w:type="auto"/>
            <w:vAlign w:val="center"/>
          </w:tcPr>
          <w:p w14:paraId="3BC19AAE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D57EBF1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1033128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72816C46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</w:tr>
      <w:tr w:rsidR="007C173F" w14:paraId="47F69763" w14:textId="77777777">
        <w:trPr>
          <w:trHeight w:val="379"/>
          <w:jc w:val="center"/>
        </w:trPr>
        <w:tc>
          <w:tcPr>
            <w:tcW w:w="0" w:type="auto"/>
            <w:vAlign w:val="center"/>
          </w:tcPr>
          <w:p w14:paraId="74006251" w14:textId="77777777" w:rsidR="007C173F" w:rsidRDefault="00A16A76">
            <w:pPr>
              <w:spacing w:line="320" w:lineRule="exact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0</w:t>
            </w:r>
          </w:p>
        </w:tc>
        <w:tc>
          <w:tcPr>
            <w:tcW w:w="0" w:type="auto"/>
            <w:vAlign w:val="center"/>
          </w:tcPr>
          <w:p w14:paraId="4DC8A008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  <w:tc>
          <w:tcPr>
            <w:tcW w:w="0" w:type="auto"/>
            <w:vAlign w:val="center"/>
          </w:tcPr>
          <w:p w14:paraId="24B02E3F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15EAEA7A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7031F7A6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173F" w14:paraId="02568F73" w14:textId="77777777">
        <w:trPr>
          <w:trHeight w:val="392"/>
          <w:jc w:val="center"/>
        </w:trPr>
        <w:tc>
          <w:tcPr>
            <w:tcW w:w="0" w:type="auto"/>
            <w:vAlign w:val="center"/>
          </w:tcPr>
          <w:p w14:paraId="5A1A8303" w14:textId="77777777" w:rsidR="007C173F" w:rsidRDefault="00A16A76">
            <w:pPr>
              <w:spacing w:line="320" w:lineRule="exact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</w:rPr>
              <w:t>毕</w:t>
            </w:r>
            <w:r>
              <w:rPr>
                <w:rFonts w:ascii="Times New Roman" w:hAnsi="Times New Roman" w:cs="Times New Roman"/>
                <w:color w:val="auto"/>
              </w:rPr>
              <w:t>业要求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14:paraId="4620DFF5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763C99FC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0DEC4C8A" w14:textId="77777777" w:rsidR="007C173F" w:rsidRDefault="007C173F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Align w:val="center"/>
          </w:tcPr>
          <w:p w14:paraId="3D410481" w14:textId="77777777" w:rsidR="007C173F" w:rsidRDefault="00A16A76">
            <w:pPr>
              <w:spacing w:line="320" w:lineRule="exact"/>
              <w:ind w:firstLine="4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√</w:t>
            </w:r>
          </w:p>
        </w:tc>
      </w:tr>
    </w:tbl>
    <w:p w14:paraId="2FC1AB69" w14:textId="77777777" w:rsidR="007C173F" w:rsidRDefault="007C173F">
      <w:pPr>
        <w:kinsoku/>
        <w:spacing w:line="560" w:lineRule="exact"/>
        <w:jc w:val="both"/>
        <w:rPr>
          <w:rFonts w:ascii="黑体" w:eastAsia="黑体" w:hAnsi="黑体" w:cs="黑体"/>
          <w:b/>
          <w:bCs/>
          <w:color w:val="auto"/>
          <w:spacing w:val="4"/>
          <w:sz w:val="28"/>
          <w:szCs w:val="28"/>
        </w:rPr>
      </w:pPr>
    </w:p>
    <w:p w14:paraId="18C3A1BB" w14:textId="77777777" w:rsidR="007C173F" w:rsidRDefault="00A16A76">
      <w:pPr>
        <w:kinsoku/>
        <w:spacing w:line="56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t>五、主干学科</w:t>
      </w:r>
    </w:p>
    <w:p w14:paraId="2B7DCF16" w14:textId="77777777" w:rsidR="007C173F" w:rsidRDefault="00A16A76">
      <w:pPr>
        <w:kinsoku/>
        <w:spacing w:line="560" w:lineRule="exact"/>
        <w:ind w:firstLineChars="200" w:firstLine="480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宋体" w:eastAsia="宋体" w:hAnsi="宋体" w:cs="宋体" w:hint="eastAsia"/>
          <w:color w:val="auto"/>
          <w:sz w:val="24"/>
        </w:rPr>
        <w:t>应用化学，化学</w:t>
      </w:r>
    </w:p>
    <w:p w14:paraId="24203583" w14:textId="77777777" w:rsidR="007C173F" w:rsidRDefault="00A16A76">
      <w:pPr>
        <w:kinsoku/>
        <w:spacing w:line="56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t>六、毕业条件及授予学士学位条件</w:t>
      </w:r>
    </w:p>
    <w:p w14:paraId="02B1AD5F" w14:textId="77777777" w:rsidR="007C173F" w:rsidRDefault="00A16A76" w:rsidP="00A16A76">
      <w:pPr>
        <w:kinsoku/>
        <w:spacing w:line="440" w:lineRule="exact"/>
        <w:ind w:firstLineChars="200" w:firstLine="512"/>
        <w:jc w:val="both"/>
        <w:rPr>
          <w:rFonts w:ascii="宋体" w:eastAsia="宋体" w:hAnsi="宋体" w:cs="宋体"/>
          <w:color w:val="auto"/>
          <w:spacing w:val="3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pacing w:val="16"/>
          <w:sz w:val="24"/>
          <w:szCs w:val="24"/>
        </w:rPr>
        <w:t>达到</w:t>
      </w:r>
      <w:r>
        <w:rPr>
          <w:rFonts w:ascii="宋体" w:eastAsia="宋体" w:hAnsi="宋体" w:cs="宋体" w:hint="eastAsia"/>
          <w:color w:val="auto"/>
          <w:spacing w:val="9"/>
          <w:sz w:val="24"/>
          <w:szCs w:val="24"/>
        </w:rPr>
        <w:t>学</w:t>
      </w:r>
      <w:r>
        <w:rPr>
          <w:rFonts w:ascii="宋体" w:eastAsia="宋体" w:hAnsi="宋体" w:cs="宋体" w:hint="eastAsia"/>
          <w:color w:val="auto"/>
          <w:spacing w:val="8"/>
          <w:sz w:val="24"/>
          <w:szCs w:val="24"/>
        </w:rPr>
        <w:t>校对本科毕业生提出的德、智、体、美、</w:t>
      </w:r>
      <w:proofErr w:type="gramStart"/>
      <w:r>
        <w:rPr>
          <w:rFonts w:ascii="宋体" w:eastAsia="宋体" w:hAnsi="宋体" w:cs="宋体" w:hint="eastAsia"/>
          <w:color w:val="auto"/>
          <w:spacing w:val="8"/>
          <w:sz w:val="24"/>
          <w:szCs w:val="24"/>
        </w:rPr>
        <w:t>劳</w:t>
      </w:r>
      <w:proofErr w:type="gramEnd"/>
      <w:r>
        <w:rPr>
          <w:rFonts w:ascii="宋体" w:eastAsia="宋体" w:hAnsi="宋体" w:cs="宋体" w:hint="eastAsia"/>
          <w:color w:val="auto"/>
          <w:spacing w:val="8"/>
          <w:sz w:val="24"/>
          <w:szCs w:val="24"/>
        </w:rPr>
        <w:t>等方</w:t>
      </w:r>
      <w:r>
        <w:rPr>
          <w:rFonts w:ascii="宋体" w:eastAsia="宋体" w:hAnsi="宋体" w:cs="宋体" w:hint="eastAsia"/>
          <w:color w:val="auto"/>
          <w:spacing w:val="4"/>
          <w:sz w:val="24"/>
          <w:szCs w:val="24"/>
        </w:rPr>
        <w:t>面的要求，完成培养方</w:t>
      </w:r>
      <w:r>
        <w:rPr>
          <w:rFonts w:ascii="宋体" w:eastAsia="宋体" w:hAnsi="宋体" w:cs="宋体" w:hint="eastAsia"/>
          <w:color w:val="auto"/>
          <w:spacing w:val="3"/>
          <w:sz w:val="24"/>
          <w:szCs w:val="24"/>
        </w:rPr>
        <w:t>案</w:t>
      </w:r>
      <w:r>
        <w:rPr>
          <w:rFonts w:ascii="宋体" w:eastAsia="宋体" w:hAnsi="宋体" w:cs="宋体" w:hint="eastAsia"/>
          <w:color w:val="auto"/>
          <w:spacing w:val="2"/>
          <w:sz w:val="24"/>
          <w:szCs w:val="24"/>
        </w:rPr>
        <w:t>课程体系中各教学环节的学习，最</w:t>
      </w:r>
      <w:r>
        <w:rPr>
          <w:rFonts w:ascii="宋体" w:eastAsia="宋体" w:hAnsi="宋体" w:cs="宋体" w:hint="eastAsia"/>
          <w:color w:val="auto"/>
          <w:spacing w:val="26"/>
          <w:sz w:val="24"/>
          <w:szCs w:val="24"/>
        </w:rPr>
        <w:t>低</w:t>
      </w:r>
      <w:r>
        <w:rPr>
          <w:rFonts w:ascii="宋体" w:eastAsia="宋体" w:hAnsi="宋体" w:cs="宋体" w:hint="eastAsia"/>
          <w:color w:val="auto"/>
          <w:spacing w:val="19"/>
          <w:sz w:val="24"/>
          <w:szCs w:val="24"/>
        </w:rPr>
        <w:t>修满</w:t>
      </w:r>
      <w:r>
        <w:rPr>
          <w:rFonts w:ascii="宋体" w:eastAsia="宋体" w:hAnsi="宋体" w:cs="宋体" w:hint="eastAsia"/>
          <w:color w:val="auto"/>
          <w:spacing w:val="7"/>
          <w:sz w:val="24"/>
          <w:szCs w:val="24"/>
        </w:rPr>
        <w:t>160</w:t>
      </w:r>
      <w:r>
        <w:rPr>
          <w:rFonts w:ascii="宋体" w:eastAsia="宋体" w:hAnsi="宋体" w:cs="宋体" w:hint="eastAsia"/>
          <w:color w:val="auto"/>
          <w:spacing w:val="19"/>
          <w:sz w:val="24"/>
          <w:szCs w:val="24"/>
        </w:rPr>
        <w:t>学分，毕业设计(论文)答辩合格，方可准予毕</w:t>
      </w:r>
      <w:r>
        <w:rPr>
          <w:rFonts w:ascii="宋体" w:eastAsia="宋体" w:hAnsi="宋体" w:cs="宋体" w:hint="eastAsia"/>
          <w:color w:val="auto"/>
          <w:spacing w:val="7"/>
          <w:sz w:val="24"/>
          <w:szCs w:val="24"/>
        </w:rPr>
        <w:t>业。符合天津科技大学学士学位授予条件，可授予理学学士学位</w:t>
      </w:r>
      <w:r>
        <w:rPr>
          <w:rFonts w:ascii="宋体" w:eastAsia="宋体" w:hAnsi="宋体" w:cs="宋体" w:hint="eastAsia"/>
          <w:color w:val="auto"/>
          <w:spacing w:val="3"/>
          <w:sz w:val="24"/>
          <w:szCs w:val="24"/>
        </w:rPr>
        <w:t>。</w:t>
      </w:r>
    </w:p>
    <w:p w14:paraId="7554D3A0" w14:textId="77777777" w:rsidR="007C173F" w:rsidRDefault="007C173F" w:rsidP="00A16A76">
      <w:pPr>
        <w:kinsoku/>
        <w:spacing w:line="440" w:lineRule="exact"/>
        <w:ind w:firstLineChars="200" w:firstLine="646"/>
        <w:jc w:val="both"/>
        <w:rPr>
          <w:rFonts w:ascii="Times New Roman" w:eastAsia="仿宋" w:hAnsi="Times New Roman" w:cs="仿宋"/>
          <w:color w:val="auto"/>
          <w:spacing w:val="3"/>
          <w:sz w:val="32"/>
          <w:szCs w:val="28"/>
        </w:rPr>
      </w:pPr>
    </w:p>
    <w:p w14:paraId="4F80F3C9" w14:textId="77777777" w:rsidR="007C173F" w:rsidRDefault="007C173F" w:rsidP="00A16A76">
      <w:pPr>
        <w:kinsoku/>
        <w:spacing w:line="560" w:lineRule="exact"/>
        <w:ind w:firstLineChars="200" w:firstLine="646"/>
        <w:jc w:val="both"/>
        <w:rPr>
          <w:rFonts w:ascii="Times New Roman" w:eastAsia="仿宋" w:hAnsi="Times New Roman" w:cs="仿宋"/>
          <w:color w:val="auto"/>
          <w:spacing w:val="3"/>
          <w:sz w:val="32"/>
          <w:szCs w:val="28"/>
        </w:rPr>
      </w:pPr>
    </w:p>
    <w:p w14:paraId="4611DA2C" w14:textId="77777777" w:rsidR="007C173F" w:rsidRDefault="007C173F" w:rsidP="00A16A76">
      <w:pPr>
        <w:kinsoku/>
        <w:spacing w:line="560" w:lineRule="exact"/>
        <w:ind w:firstLineChars="200" w:firstLine="646"/>
        <w:jc w:val="both"/>
        <w:rPr>
          <w:rFonts w:ascii="Times New Roman" w:eastAsia="仿宋" w:hAnsi="Times New Roman" w:cs="仿宋"/>
          <w:color w:val="auto"/>
          <w:spacing w:val="3"/>
          <w:sz w:val="32"/>
          <w:szCs w:val="28"/>
        </w:rPr>
      </w:pPr>
    </w:p>
    <w:p w14:paraId="52479138" w14:textId="77777777" w:rsidR="007C173F" w:rsidRDefault="00A16A76">
      <w:pPr>
        <w:kinsoku/>
        <w:spacing w:line="560" w:lineRule="exact"/>
        <w:jc w:val="center"/>
        <w:rPr>
          <w:rFonts w:ascii="黑体" w:eastAsia="黑体" w:hAnsi="黑体" w:cs="黑体"/>
          <w:color w:val="auto"/>
          <w:spacing w:val="7"/>
          <w:sz w:val="24"/>
          <w:szCs w:val="22"/>
        </w:rPr>
      </w:pPr>
      <w:r>
        <w:rPr>
          <w:rFonts w:ascii="黑体" w:eastAsia="黑体" w:hAnsi="黑体" w:cs="黑体" w:hint="eastAsia"/>
          <w:color w:val="auto"/>
          <w:spacing w:val="7"/>
          <w:sz w:val="24"/>
          <w:szCs w:val="22"/>
        </w:rPr>
        <w:t>课程学时学分分配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1202"/>
        <w:gridCol w:w="748"/>
        <w:gridCol w:w="813"/>
        <w:gridCol w:w="851"/>
        <w:gridCol w:w="1221"/>
        <w:gridCol w:w="767"/>
        <w:gridCol w:w="938"/>
        <w:gridCol w:w="1041"/>
        <w:gridCol w:w="828"/>
      </w:tblGrid>
      <w:tr w:rsidR="007C173F" w14:paraId="6525276C" w14:textId="77777777">
        <w:trPr>
          <w:trHeight w:val="378"/>
          <w:jc w:val="center"/>
        </w:trPr>
        <w:tc>
          <w:tcPr>
            <w:tcW w:w="1530" w:type="pct"/>
            <w:gridSpan w:val="3"/>
            <w:vMerge w:val="restart"/>
            <w:vAlign w:val="center"/>
          </w:tcPr>
          <w:p w14:paraId="1E9AF813" w14:textId="77777777" w:rsidR="007C173F" w:rsidRDefault="00A16A7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</w:rPr>
              <w:t>课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程类别</w:t>
            </w:r>
          </w:p>
        </w:tc>
        <w:tc>
          <w:tcPr>
            <w:tcW w:w="437" w:type="pct"/>
            <w:vMerge w:val="restart"/>
            <w:vAlign w:val="center"/>
          </w:tcPr>
          <w:p w14:paraId="3A2BA581" w14:textId="77777777" w:rsidR="007C173F" w:rsidRDefault="00A16A7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</w:rPr>
              <w:t>学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分</w:t>
            </w:r>
          </w:p>
        </w:tc>
        <w:tc>
          <w:tcPr>
            <w:tcW w:w="457" w:type="pct"/>
            <w:vMerge w:val="restart"/>
            <w:vAlign w:val="center"/>
          </w:tcPr>
          <w:p w14:paraId="37790CF9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</w:rPr>
              <w:t>占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总学分比例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</w:rPr>
              <w:t>%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</w:rPr>
              <w:t>）</w:t>
            </w:r>
          </w:p>
        </w:tc>
        <w:tc>
          <w:tcPr>
            <w:tcW w:w="656" w:type="pct"/>
            <w:vMerge w:val="restart"/>
            <w:vAlign w:val="center"/>
          </w:tcPr>
          <w:p w14:paraId="39F36E65" w14:textId="77777777" w:rsidR="007C173F" w:rsidRDefault="00A16A7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</w:rPr>
              <w:t>学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时</w:t>
            </w:r>
          </w:p>
        </w:tc>
        <w:tc>
          <w:tcPr>
            <w:tcW w:w="1920" w:type="pct"/>
            <w:gridSpan w:val="4"/>
            <w:vAlign w:val="center"/>
          </w:tcPr>
          <w:p w14:paraId="4ADEEC89" w14:textId="77777777" w:rsidR="007C173F" w:rsidRDefault="00A16A76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</w:rPr>
              <w:t>实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践教学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auto"/>
              </w:rPr>
              <w:t>（含课内实验）</w:t>
            </w:r>
          </w:p>
        </w:tc>
      </w:tr>
      <w:tr w:rsidR="007C173F" w14:paraId="2B000C21" w14:textId="77777777">
        <w:trPr>
          <w:trHeight w:val="285"/>
          <w:jc w:val="center"/>
        </w:trPr>
        <w:tc>
          <w:tcPr>
            <w:tcW w:w="1530" w:type="pct"/>
            <w:gridSpan w:val="3"/>
            <w:vMerge/>
            <w:vAlign w:val="center"/>
          </w:tcPr>
          <w:p w14:paraId="5D664A67" w14:textId="77777777" w:rsidR="007C173F" w:rsidRDefault="007C173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37" w:type="pct"/>
            <w:vMerge/>
            <w:vAlign w:val="center"/>
          </w:tcPr>
          <w:p w14:paraId="38412809" w14:textId="77777777" w:rsidR="007C173F" w:rsidRDefault="007C173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57" w:type="pct"/>
            <w:vMerge/>
            <w:vAlign w:val="center"/>
          </w:tcPr>
          <w:p w14:paraId="36A9BA36" w14:textId="77777777" w:rsidR="007C173F" w:rsidRDefault="007C173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56" w:type="pct"/>
            <w:vMerge/>
            <w:vAlign w:val="center"/>
          </w:tcPr>
          <w:p w14:paraId="28597466" w14:textId="77777777" w:rsidR="007C173F" w:rsidRDefault="007C173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12" w:type="pct"/>
            <w:vAlign w:val="center"/>
          </w:tcPr>
          <w:p w14:paraId="0AD32B2C" w14:textId="77777777" w:rsidR="007C173F" w:rsidRDefault="00A16A7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</w:rPr>
              <w:t>学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分</w:t>
            </w:r>
          </w:p>
        </w:tc>
        <w:tc>
          <w:tcPr>
            <w:tcW w:w="504" w:type="pct"/>
            <w:vAlign w:val="center"/>
          </w:tcPr>
          <w:p w14:paraId="622C00B6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sz w:val="18"/>
                <w:szCs w:val="18"/>
              </w:rPr>
              <w:t>占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总学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lastRenderedPageBreak/>
              <w:t>分比例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18"/>
                <w:szCs w:val="18"/>
              </w:rPr>
              <w:t>）</w:t>
            </w:r>
          </w:p>
        </w:tc>
        <w:tc>
          <w:tcPr>
            <w:tcW w:w="559" w:type="pct"/>
            <w:vAlign w:val="center"/>
          </w:tcPr>
          <w:p w14:paraId="4D243C21" w14:textId="77777777" w:rsidR="007C173F" w:rsidRDefault="00A16A7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</w:rPr>
              <w:lastRenderedPageBreak/>
              <w:t>学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时</w:t>
            </w:r>
          </w:p>
        </w:tc>
        <w:tc>
          <w:tcPr>
            <w:tcW w:w="445" w:type="pct"/>
            <w:vAlign w:val="center"/>
          </w:tcPr>
          <w:p w14:paraId="02239B0E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sz w:val="18"/>
                <w:szCs w:val="18"/>
              </w:rPr>
              <w:t>占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总学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18"/>
                <w:szCs w:val="18"/>
              </w:rPr>
              <w:lastRenderedPageBreak/>
              <w:t>时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比例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 w:hint="eastAsia"/>
                <w:b/>
                <w:bCs/>
                <w:color w:val="auto"/>
                <w:sz w:val="18"/>
                <w:szCs w:val="18"/>
              </w:rPr>
              <w:t>）</w:t>
            </w:r>
          </w:p>
        </w:tc>
      </w:tr>
      <w:tr w:rsidR="007C173F" w14:paraId="01B4A776" w14:textId="77777777">
        <w:trPr>
          <w:trHeight w:val="628"/>
          <w:jc w:val="center"/>
        </w:trPr>
        <w:tc>
          <w:tcPr>
            <w:tcW w:w="1128" w:type="pct"/>
            <w:gridSpan w:val="2"/>
            <w:vAlign w:val="center"/>
          </w:tcPr>
          <w:p w14:paraId="3BDE0FA1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lastRenderedPageBreak/>
              <w:t>人文社会科学类通识教育课程</w:t>
            </w:r>
          </w:p>
        </w:tc>
        <w:tc>
          <w:tcPr>
            <w:tcW w:w="402" w:type="pct"/>
            <w:vAlign w:val="center"/>
          </w:tcPr>
          <w:p w14:paraId="510A6276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必修</w:t>
            </w:r>
          </w:p>
        </w:tc>
        <w:tc>
          <w:tcPr>
            <w:tcW w:w="437" w:type="pct"/>
            <w:vAlign w:val="center"/>
          </w:tcPr>
          <w:p w14:paraId="167033F1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0</w:t>
            </w:r>
          </w:p>
        </w:tc>
        <w:tc>
          <w:tcPr>
            <w:tcW w:w="457" w:type="pct"/>
            <w:vAlign w:val="center"/>
          </w:tcPr>
          <w:p w14:paraId="69856DAE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25.00</w:t>
            </w:r>
          </w:p>
        </w:tc>
        <w:tc>
          <w:tcPr>
            <w:tcW w:w="656" w:type="pct"/>
            <w:vAlign w:val="center"/>
          </w:tcPr>
          <w:p w14:paraId="3ECD90D7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color w:val="auto"/>
              </w:rPr>
              <w:t>772</w:t>
            </w:r>
          </w:p>
        </w:tc>
        <w:tc>
          <w:tcPr>
            <w:tcW w:w="412" w:type="pct"/>
            <w:vAlign w:val="center"/>
          </w:tcPr>
          <w:p w14:paraId="6F3A5FC5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hint="eastAsia"/>
                <w:bCs/>
                <w:color w:val="auto"/>
              </w:rPr>
              <w:t>11</w:t>
            </w:r>
          </w:p>
        </w:tc>
        <w:tc>
          <w:tcPr>
            <w:tcW w:w="504" w:type="pct"/>
            <w:vAlign w:val="center"/>
          </w:tcPr>
          <w:p w14:paraId="2D78F656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hint="eastAsia"/>
                <w:bCs/>
                <w:color w:val="auto"/>
              </w:rPr>
              <w:t>6.88</w:t>
            </w:r>
          </w:p>
        </w:tc>
        <w:tc>
          <w:tcPr>
            <w:tcW w:w="559" w:type="pct"/>
            <w:vAlign w:val="center"/>
          </w:tcPr>
          <w:p w14:paraId="148F1F21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186</w:t>
            </w:r>
          </w:p>
        </w:tc>
        <w:tc>
          <w:tcPr>
            <w:tcW w:w="445" w:type="pct"/>
            <w:vAlign w:val="center"/>
          </w:tcPr>
          <w:p w14:paraId="51A9FF51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6.01</w:t>
            </w:r>
          </w:p>
        </w:tc>
      </w:tr>
      <w:tr w:rsidR="007C173F" w14:paraId="0DDE4CA5" w14:textId="77777777">
        <w:trPr>
          <w:trHeight w:val="628"/>
          <w:jc w:val="center"/>
        </w:trPr>
        <w:tc>
          <w:tcPr>
            <w:tcW w:w="1128" w:type="pct"/>
            <w:gridSpan w:val="2"/>
            <w:vAlign w:val="center"/>
          </w:tcPr>
          <w:p w14:paraId="0A8915F7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数学与自然科学类课程</w:t>
            </w:r>
          </w:p>
        </w:tc>
        <w:tc>
          <w:tcPr>
            <w:tcW w:w="402" w:type="pct"/>
            <w:vAlign w:val="center"/>
          </w:tcPr>
          <w:p w14:paraId="481C4BC5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必修</w:t>
            </w:r>
          </w:p>
        </w:tc>
        <w:tc>
          <w:tcPr>
            <w:tcW w:w="437" w:type="pct"/>
            <w:vAlign w:val="center"/>
          </w:tcPr>
          <w:p w14:paraId="0093A764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3</w:t>
            </w:r>
          </w:p>
        </w:tc>
        <w:tc>
          <w:tcPr>
            <w:tcW w:w="457" w:type="pct"/>
            <w:vAlign w:val="center"/>
          </w:tcPr>
          <w:p w14:paraId="3B8961EC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14.38</w:t>
            </w:r>
          </w:p>
        </w:tc>
        <w:tc>
          <w:tcPr>
            <w:tcW w:w="656" w:type="pct"/>
            <w:vAlign w:val="center"/>
          </w:tcPr>
          <w:p w14:paraId="207E763A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auto"/>
              </w:rPr>
              <w:t>00</w:t>
            </w:r>
          </w:p>
        </w:tc>
        <w:tc>
          <w:tcPr>
            <w:tcW w:w="412" w:type="pct"/>
            <w:vAlign w:val="center"/>
          </w:tcPr>
          <w:p w14:paraId="2E8A45B2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2</w:t>
            </w:r>
          </w:p>
        </w:tc>
        <w:tc>
          <w:tcPr>
            <w:tcW w:w="504" w:type="pct"/>
            <w:vAlign w:val="center"/>
          </w:tcPr>
          <w:p w14:paraId="09A0811A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1.25</w:t>
            </w:r>
          </w:p>
        </w:tc>
        <w:tc>
          <w:tcPr>
            <w:tcW w:w="559" w:type="pct"/>
            <w:vAlign w:val="center"/>
          </w:tcPr>
          <w:p w14:paraId="6D858833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64</w:t>
            </w:r>
          </w:p>
        </w:tc>
        <w:tc>
          <w:tcPr>
            <w:tcW w:w="445" w:type="pct"/>
            <w:vAlign w:val="center"/>
          </w:tcPr>
          <w:p w14:paraId="36C710DA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2.07</w:t>
            </w:r>
          </w:p>
        </w:tc>
      </w:tr>
      <w:tr w:rsidR="007C173F" w14:paraId="6AAE7493" w14:textId="77777777">
        <w:trPr>
          <w:trHeight w:val="466"/>
          <w:jc w:val="center"/>
        </w:trPr>
        <w:tc>
          <w:tcPr>
            <w:tcW w:w="1128" w:type="pct"/>
            <w:gridSpan w:val="2"/>
            <w:vMerge w:val="restart"/>
            <w:vAlign w:val="center"/>
          </w:tcPr>
          <w:p w14:paraId="242F1A6E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学科基础课程</w:t>
            </w:r>
          </w:p>
        </w:tc>
        <w:tc>
          <w:tcPr>
            <w:tcW w:w="402" w:type="pct"/>
            <w:vAlign w:val="center"/>
          </w:tcPr>
          <w:p w14:paraId="3E15A230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必修</w:t>
            </w:r>
          </w:p>
        </w:tc>
        <w:tc>
          <w:tcPr>
            <w:tcW w:w="437" w:type="pct"/>
            <w:vAlign w:val="center"/>
          </w:tcPr>
          <w:p w14:paraId="5EFBD611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color w:val="auto"/>
              </w:rPr>
              <w:t>35</w:t>
            </w:r>
          </w:p>
        </w:tc>
        <w:tc>
          <w:tcPr>
            <w:tcW w:w="457" w:type="pct"/>
            <w:vAlign w:val="center"/>
          </w:tcPr>
          <w:p w14:paraId="7E5020B7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21.88</w:t>
            </w:r>
          </w:p>
        </w:tc>
        <w:tc>
          <w:tcPr>
            <w:tcW w:w="656" w:type="pct"/>
            <w:vAlign w:val="center"/>
          </w:tcPr>
          <w:p w14:paraId="630404D0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color w:val="auto"/>
              </w:rPr>
              <w:t>616</w:t>
            </w:r>
          </w:p>
        </w:tc>
        <w:tc>
          <w:tcPr>
            <w:tcW w:w="412" w:type="pct"/>
            <w:vAlign w:val="center"/>
          </w:tcPr>
          <w:p w14:paraId="2C3994FA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hint="eastAsia"/>
                <w:bCs/>
                <w:color w:val="auto"/>
              </w:rPr>
              <w:t>6</w:t>
            </w:r>
            <w:r>
              <w:rPr>
                <w:rFonts w:ascii="Times New Roman" w:hAnsi="Times New Roman"/>
                <w:bCs/>
                <w:color w:val="auto"/>
              </w:rPr>
              <w:t>.5</w:t>
            </w:r>
          </w:p>
        </w:tc>
        <w:tc>
          <w:tcPr>
            <w:tcW w:w="504" w:type="pct"/>
            <w:vAlign w:val="center"/>
          </w:tcPr>
          <w:p w14:paraId="38150680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>4.06</w:t>
            </w:r>
          </w:p>
        </w:tc>
        <w:tc>
          <w:tcPr>
            <w:tcW w:w="559" w:type="pct"/>
            <w:vAlign w:val="center"/>
          </w:tcPr>
          <w:p w14:paraId="19A72183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>2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08</w:t>
            </w:r>
          </w:p>
        </w:tc>
        <w:tc>
          <w:tcPr>
            <w:tcW w:w="445" w:type="pct"/>
            <w:vAlign w:val="center"/>
          </w:tcPr>
          <w:p w14:paraId="3BBD5D3B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6.72</w:t>
            </w:r>
          </w:p>
        </w:tc>
      </w:tr>
      <w:tr w:rsidR="007C173F" w14:paraId="49D73CD2" w14:textId="77777777">
        <w:trPr>
          <w:trHeight w:val="400"/>
          <w:jc w:val="center"/>
        </w:trPr>
        <w:tc>
          <w:tcPr>
            <w:tcW w:w="1128" w:type="pct"/>
            <w:gridSpan w:val="2"/>
            <w:vMerge/>
            <w:vAlign w:val="center"/>
          </w:tcPr>
          <w:p w14:paraId="41BB2AEE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02" w:type="pct"/>
            <w:vAlign w:val="center"/>
          </w:tcPr>
          <w:p w14:paraId="446ACC25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选修</w:t>
            </w:r>
          </w:p>
        </w:tc>
        <w:tc>
          <w:tcPr>
            <w:tcW w:w="437" w:type="pct"/>
            <w:vAlign w:val="center"/>
          </w:tcPr>
          <w:p w14:paraId="50267F8E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13</w:t>
            </w:r>
          </w:p>
        </w:tc>
        <w:tc>
          <w:tcPr>
            <w:tcW w:w="457" w:type="pct"/>
            <w:vAlign w:val="center"/>
          </w:tcPr>
          <w:p w14:paraId="6FF85BCD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8.13</w:t>
            </w:r>
          </w:p>
        </w:tc>
        <w:tc>
          <w:tcPr>
            <w:tcW w:w="656" w:type="pct"/>
            <w:vAlign w:val="center"/>
          </w:tcPr>
          <w:p w14:paraId="25E6B2EC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color w:val="auto"/>
              </w:rPr>
              <w:t>192</w:t>
            </w:r>
          </w:p>
        </w:tc>
        <w:tc>
          <w:tcPr>
            <w:tcW w:w="412" w:type="pct"/>
            <w:vAlign w:val="center"/>
          </w:tcPr>
          <w:p w14:paraId="1E6ACD7F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0.5</w:t>
            </w:r>
          </w:p>
        </w:tc>
        <w:tc>
          <w:tcPr>
            <w:tcW w:w="504" w:type="pct"/>
            <w:vAlign w:val="center"/>
          </w:tcPr>
          <w:p w14:paraId="025A38BD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hint="eastAsia"/>
                <w:bCs/>
                <w:color w:val="auto"/>
              </w:rPr>
              <w:t>0.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31</w:t>
            </w:r>
          </w:p>
        </w:tc>
        <w:tc>
          <w:tcPr>
            <w:tcW w:w="559" w:type="pct"/>
            <w:vAlign w:val="center"/>
          </w:tcPr>
          <w:p w14:paraId="5A3F5598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8</w:t>
            </w:r>
          </w:p>
        </w:tc>
        <w:tc>
          <w:tcPr>
            <w:tcW w:w="445" w:type="pct"/>
            <w:vAlign w:val="center"/>
          </w:tcPr>
          <w:p w14:paraId="4AC38522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0.26</w:t>
            </w:r>
          </w:p>
        </w:tc>
      </w:tr>
      <w:tr w:rsidR="007C173F" w14:paraId="62C0CF69" w14:textId="77777777">
        <w:trPr>
          <w:trHeight w:val="400"/>
          <w:jc w:val="center"/>
        </w:trPr>
        <w:tc>
          <w:tcPr>
            <w:tcW w:w="1128" w:type="pct"/>
            <w:gridSpan w:val="2"/>
            <w:vMerge w:val="restart"/>
            <w:vAlign w:val="center"/>
          </w:tcPr>
          <w:p w14:paraId="61452B77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专业教育课程</w:t>
            </w:r>
          </w:p>
        </w:tc>
        <w:tc>
          <w:tcPr>
            <w:tcW w:w="402" w:type="pct"/>
            <w:vAlign w:val="center"/>
          </w:tcPr>
          <w:p w14:paraId="35A152A4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必修</w:t>
            </w:r>
          </w:p>
        </w:tc>
        <w:tc>
          <w:tcPr>
            <w:tcW w:w="437" w:type="pct"/>
            <w:vAlign w:val="center"/>
          </w:tcPr>
          <w:p w14:paraId="08EC3253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>8</w:t>
            </w:r>
          </w:p>
        </w:tc>
        <w:tc>
          <w:tcPr>
            <w:tcW w:w="457" w:type="pct"/>
            <w:vAlign w:val="center"/>
          </w:tcPr>
          <w:p w14:paraId="68535E56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>5.00</w:t>
            </w:r>
          </w:p>
        </w:tc>
        <w:tc>
          <w:tcPr>
            <w:tcW w:w="656" w:type="pct"/>
            <w:vAlign w:val="center"/>
          </w:tcPr>
          <w:p w14:paraId="6156EE52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hint="eastAsia"/>
                <w:bCs/>
                <w:color w:val="auto"/>
              </w:rPr>
              <w:t>1</w:t>
            </w:r>
            <w:r>
              <w:rPr>
                <w:rFonts w:ascii="Times New Roman" w:hAnsi="Times New Roman"/>
                <w:bCs/>
                <w:color w:val="auto"/>
              </w:rPr>
              <w:t>28</w:t>
            </w:r>
          </w:p>
        </w:tc>
        <w:tc>
          <w:tcPr>
            <w:tcW w:w="412" w:type="pct"/>
            <w:vAlign w:val="center"/>
          </w:tcPr>
          <w:p w14:paraId="5F019AE6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04" w:type="pct"/>
            <w:vAlign w:val="center"/>
          </w:tcPr>
          <w:p w14:paraId="5BA064F6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59" w:type="pct"/>
            <w:vAlign w:val="center"/>
          </w:tcPr>
          <w:p w14:paraId="334E116D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45" w:type="pct"/>
            <w:vAlign w:val="center"/>
          </w:tcPr>
          <w:p w14:paraId="54FF5731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47C2C354" w14:textId="77777777">
        <w:trPr>
          <w:trHeight w:val="395"/>
          <w:jc w:val="center"/>
        </w:trPr>
        <w:tc>
          <w:tcPr>
            <w:tcW w:w="1128" w:type="pct"/>
            <w:gridSpan w:val="2"/>
            <w:vMerge/>
            <w:vAlign w:val="center"/>
          </w:tcPr>
          <w:p w14:paraId="19E1DC78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02" w:type="pct"/>
            <w:vAlign w:val="center"/>
          </w:tcPr>
          <w:p w14:paraId="08D39B99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选修</w:t>
            </w:r>
          </w:p>
        </w:tc>
        <w:tc>
          <w:tcPr>
            <w:tcW w:w="437" w:type="pct"/>
            <w:vAlign w:val="center"/>
          </w:tcPr>
          <w:p w14:paraId="3904F24E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color w:val="auto"/>
              </w:rPr>
              <w:t>6</w:t>
            </w:r>
          </w:p>
        </w:tc>
        <w:tc>
          <w:tcPr>
            <w:tcW w:w="457" w:type="pct"/>
            <w:vAlign w:val="center"/>
          </w:tcPr>
          <w:p w14:paraId="0DD07D3F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3.75</w:t>
            </w:r>
          </w:p>
        </w:tc>
        <w:tc>
          <w:tcPr>
            <w:tcW w:w="656" w:type="pct"/>
            <w:vAlign w:val="center"/>
          </w:tcPr>
          <w:p w14:paraId="12618460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96</w:t>
            </w:r>
          </w:p>
        </w:tc>
        <w:tc>
          <w:tcPr>
            <w:tcW w:w="412" w:type="pct"/>
            <w:vAlign w:val="center"/>
          </w:tcPr>
          <w:p w14:paraId="422009FA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04" w:type="pct"/>
            <w:vAlign w:val="center"/>
          </w:tcPr>
          <w:p w14:paraId="622B9103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59" w:type="pct"/>
            <w:vAlign w:val="center"/>
          </w:tcPr>
          <w:p w14:paraId="3C670E16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45" w:type="pct"/>
            <w:vAlign w:val="center"/>
          </w:tcPr>
          <w:p w14:paraId="58942E58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35EACB07" w14:textId="77777777">
        <w:trPr>
          <w:trHeight w:val="540"/>
          <w:jc w:val="center"/>
        </w:trPr>
        <w:tc>
          <w:tcPr>
            <w:tcW w:w="1128" w:type="pct"/>
            <w:gridSpan w:val="2"/>
            <w:vAlign w:val="center"/>
          </w:tcPr>
          <w:p w14:paraId="15CC53CC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个性</w:t>
            </w: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化</w:t>
            </w:r>
            <w:r>
              <w:rPr>
                <w:rFonts w:ascii="宋体" w:eastAsia="宋体" w:hAnsi="宋体" w:cs="宋体" w:hint="eastAsia"/>
                <w:bCs/>
                <w:color w:val="auto"/>
              </w:rPr>
              <w:t>课程</w:t>
            </w:r>
          </w:p>
        </w:tc>
        <w:tc>
          <w:tcPr>
            <w:tcW w:w="402" w:type="pct"/>
            <w:vAlign w:val="center"/>
          </w:tcPr>
          <w:p w14:paraId="5AB76A43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选修</w:t>
            </w:r>
          </w:p>
        </w:tc>
        <w:tc>
          <w:tcPr>
            <w:tcW w:w="437" w:type="pct"/>
            <w:vAlign w:val="center"/>
          </w:tcPr>
          <w:p w14:paraId="49746C2C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8</w:t>
            </w:r>
          </w:p>
        </w:tc>
        <w:tc>
          <w:tcPr>
            <w:tcW w:w="457" w:type="pct"/>
            <w:vAlign w:val="center"/>
          </w:tcPr>
          <w:p w14:paraId="1266BA0A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5.00</w:t>
            </w:r>
          </w:p>
        </w:tc>
        <w:tc>
          <w:tcPr>
            <w:tcW w:w="656" w:type="pct"/>
            <w:vAlign w:val="center"/>
          </w:tcPr>
          <w:p w14:paraId="09FBD43F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128</w:t>
            </w:r>
          </w:p>
        </w:tc>
        <w:tc>
          <w:tcPr>
            <w:tcW w:w="412" w:type="pct"/>
            <w:vAlign w:val="center"/>
          </w:tcPr>
          <w:p w14:paraId="1D0A3AB9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04" w:type="pct"/>
            <w:vAlign w:val="center"/>
          </w:tcPr>
          <w:p w14:paraId="2C7B89C6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59" w:type="pct"/>
            <w:vAlign w:val="center"/>
          </w:tcPr>
          <w:p w14:paraId="1A613E1C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45" w:type="pct"/>
            <w:vAlign w:val="center"/>
          </w:tcPr>
          <w:p w14:paraId="1F986F19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0D9A1159" w14:textId="77777777">
        <w:trPr>
          <w:trHeight w:val="377"/>
          <w:jc w:val="center"/>
        </w:trPr>
        <w:tc>
          <w:tcPr>
            <w:tcW w:w="1128" w:type="pct"/>
            <w:gridSpan w:val="2"/>
            <w:vAlign w:val="center"/>
          </w:tcPr>
          <w:p w14:paraId="0B7BA72F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小计</w:t>
            </w:r>
          </w:p>
        </w:tc>
        <w:tc>
          <w:tcPr>
            <w:tcW w:w="402" w:type="pct"/>
            <w:vAlign w:val="center"/>
          </w:tcPr>
          <w:p w14:paraId="21C96F2C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37" w:type="pct"/>
            <w:vAlign w:val="center"/>
          </w:tcPr>
          <w:p w14:paraId="47BAAE32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</w:p>
        </w:tc>
        <w:tc>
          <w:tcPr>
            <w:tcW w:w="457" w:type="pct"/>
            <w:vAlign w:val="center"/>
          </w:tcPr>
          <w:p w14:paraId="5FB98B61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656" w:type="pct"/>
            <w:vAlign w:val="center"/>
          </w:tcPr>
          <w:p w14:paraId="6C24F28F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12" w:type="pct"/>
            <w:vAlign w:val="center"/>
          </w:tcPr>
          <w:p w14:paraId="607A4E7C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04" w:type="pct"/>
            <w:vAlign w:val="center"/>
          </w:tcPr>
          <w:p w14:paraId="4F21D2AC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59" w:type="pct"/>
            <w:vAlign w:val="center"/>
          </w:tcPr>
          <w:p w14:paraId="5F9BF257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45" w:type="pct"/>
            <w:vAlign w:val="center"/>
          </w:tcPr>
          <w:p w14:paraId="7CACD5FC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178D114B" w14:textId="77777777">
        <w:trPr>
          <w:trHeight w:val="443"/>
          <w:jc w:val="center"/>
        </w:trPr>
        <w:tc>
          <w:tcPr>
            <w:tcW w:w="482" w:type="pct"/>
            <w:vMerge w:val="restart"/>
            <w:vAlign w:val="center"/>
          </w:tcPr>
          <w:p w14:paraId="6A982CEA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实践教学</w:t>
            </w:r>
          </w:p>
        </w:tc>
        <w:tc>
          <w:tcPr>
            <w:tcW w:w="645" w:type="pct"/>
            <w:vMerge w:val="restart"/>
            <w:vAlign w:val="center"/>
          </w:tcPr>
          <w:p w14:paraId="6B0005F1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专业</w:t>
            </w:r>
            <w:r>
              <w:rPr>
                <w:rFonts w:ascii="宋体" w:eastAsia="宋体" w:hAnsi="宋体" w:cs="宋体" w:hint="eastAsia"/>
                <w:bCs/>
                <w:color w:val="auto"/>
              </w:rPr>
              <w:t>集中实践</w:t>
            </w:r>
          </w:p>
        </w:tc>
        <w:tc>
          <w:tcPr>
            <w:tcW w:w="402" w:type="pct"/>
            <w:vAlign w:val="center"/>
          </w:tcPr>
          <w:p w14:paraId="7AF0CED5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必修</w:t>
            </w:r>
          </w:p>
        </w:tc>
        <w:tc>
          <w:tcPr>
            <w:tcW w:w="437" w:type="pct"/>
            <w:vAlign w:val="center"/>
          </w:tcPr>
          <w:p w14:paraId="033BAAF5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hint="eastAsia"/>
                <w:bCs/>
                <w:color w:val="auto"/>
              </w:rPr>
              <w:t>2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5</w:t>
            </w:r>
          </w:p>
        </w:tc>
        <w:tc>
          <w:tcPr>
            <w:tcW w:w="457" w:type="pct"/>
            <w:vAlign w:val="center"/>
          </w:tcPr>
          <w:p w14:paraId="231A29EF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15.63</w:t>
            </w:r>
          </w:p>
        </w:tc>
        <w:tc>
          <w:tcPr>
            <w:tcW w:w="656" w:type="pct"/>
            <w:vAlign w:val="center"/>
          </w:tcPr>
          <w:p w14:paraId="3DC780C1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>3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3</w:t>
            </w:r>
            <w:r>
              <w:rPr>
                <w:rFonts w:ascii="Times New Roman" w:hAnsi="Times New Roman"/>
                <w:bCs/>
                <w:color w:val="auto"/>
              </w:rPr>
              <w:t>w</w:t>
            </w:r>
          </w:p>
        </w:tc>
        <w:tc>
          <w:tcPr>
            <w:tcW w:w="412" w:type="pct"/>
            <w:vAlign w:val="center"/>
          </w:tcPr>
          <w:p w14:paraId="29A34F2C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25</w:t>
            </w:r>
          </w:p>
        </w:tc>
        <w:tc>
          <w:tcPr>
            <w:tcW w:w="504" w:type="pct"/>
            <w:vAlign w:val="center"/>
          </w:tcPr>
          <w:p w14:paraId="79210367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13.75</w:t>
            </w:r>
          </w:p>
        </w:tc>
        <w:tc>
          <w:tcPr>
            <w:tcW w:w="559" w:type="pct"/>
            <w:vAlign w:val="center"/>
          </w:tcPr>
          <w:p w14:paraId="028C7E02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>3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3</w:t>
            </w:r>
            <w:r>
              <w:rPr>
                <w:rFonts w:ascii="Times New Roman" w:hAnsi="Times New Roman"/>
                <w:bCs/>
                <w:color w:val="auto"/>
              </w:rPr>
              <w:t>w</w:t>
            </w:r>
          </w:p>
        </w:tc>
        <w:tc>
          <w:tcPr>
            <w:tcW w:w="445" w:type="pct"/>
            <w:vAlign w:val="center"/>
          </w:tcPr>
          <w:p w14:paraId="62CAC24E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21.32</w:t>
            </w:r>
          </w:p>
        </w:tc>
      </w:tr>
      <w:tr w:rsidR="007C173F" w14:paraId="6B5057ED" w14:textId="77777777">
        <w:trPr>
          <w:trHeight w:val="407"/>
          <w:jc w:val="center"/>
        </w:trPr>
        <w:tc>
          <w:tcPr>
            <w:tcW w:w="482" w:type="pct"/>
            <w:vMerge/>
            <w:vAlign w:val="center"/>
          </w:tcPr>
          <w:p w14:paraId="19DD2465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645" w:type="pct"/>
            <w:vMerge/>
            <w:vAlign w:val="center"/>
          </w:tcPr>
          <w:p w14:paraId="53C9E85E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02" w:type="pct"/>
            <w:vAlign w:val="center"/>
          </w:tcPr>
          <w:p w14:paraId="03E44867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选</w:t>
            </w:r>
            <w:r>
              <w:rPr>
                <w:rFonts w:ascii="Times New Roman" w:hAnsi="Times New Roman" w:cs="Times New Roman"/>
                <w:bCs/>
                <w:color w:val="auto"/>
              </w:rPr>
              <w:t>修</w:t>
            </w:r>
          </w:p>
        </w:tc>
        <w:tc>
          <w:tcPr>
            <w:tcW w:w="437" w:type="pct"/>
            <w:vAlign w:val="center"/>
          </w:tcPr>
          <w:p w14:paraId="67BA3A42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57" w:type="pct"/>
            <w:vAlign w:val="center"/>
          </w:tcPr>
          <w:p w14:paraId="6E59E192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656" w:type="pct"/>
            <w:vAlign w:val="center"/>
          </w:tcPr>
          <w:p w14:paraId="092F97F3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12" w:type="pct"/>
            <w:vAlign w:val="center"/>
          </w:tcPr>
          <w:p w14:paraId="01E50D23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04" w:type="pct"/>
            <w:vAlign w:val="center"/>
          </w:tcPr>
          <w:p w14:paraId="4B35B29C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59" w:type="pct"/>
            <w:vAlign w:val="center"/>
          </w:tcPr>
          <w:p w14:paraId="6611DBAB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45" w:type="pct"/>
            <w:vAlign w:val="center"/>
          </w:tcPr>
          <w:p w14:paraId="56252D86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430239CF" w14:textId="77777777">
        <w:trPr>
          <w:trHeight w:val="442"/>
          <w:jc w:val="center"/>
        </w:trPr>
        <w:tc>
          <w:tcPr>
            <w:tcW w:w="482" w:type="pct"/>
            <w:vMerge/>
            <w:vAlign w:val="center"/>
          </w:tcPr>
          <w:p w14:paraId="044A0EAB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28217B6E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单</w:t>
            </w:r>
            <w:r>
              <w:rPr>
                <w:rFonts w:ascii="Times New Roman" w:hAnsi="Times New Roman" w:cs="Times New Roman" w:hint="eastAsia"/>
                <w:bCs/>
                <w:color w:val="auto"/>
              </w:rPr>
              <w:t>独设课的实验</w:t>
            </w:r>
          </w:p>
        </w:tc>
        <w:tc>
          <w:tcPr>
            <w:tcW w:w="437" w:type="pct"/>
            <w:vAlign w:val="center"/>
          </w:tcPr>
          <w:p w14:paraId="2789057A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57" w:type="pct"/>
            <w:vAlign w:val="center"/>
          </w:tcPr>
          <w:p w14:paraId="4EA3DCFB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656" w:type="pct"/>
            <w:vAlign w:val="center"/>
          </w:tcPr>
          <w:p w14:paraId="7F6163D8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12" w:type="pct"/>
            <w:vAlign w:val="center"/>
          </w:tcPr>
          <w:p w14:paraId="56404D6E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04" w:type="pct"/>
            <w:vAlign w:val="center"/>
          </w:tcPr>
          <w:p w14:paraId="7BE74774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59" w:type="pct"/>
            <w:vAlign w:val="center"/>
          </w:tcPr>
          <w:p w14:paraId="72AD2CD1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445" w:type="pct"/>
            <w:vAlign w:val="center"/>
          </w:tcPr>
          <w:p w14:paraId="789D3B8B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1A1EB74A" w14:textId="77777777">
        <w:trPr>
          <w:trHeight w:val="443"/>
          <w:jc w:val="center"/>
        </w:trPr>
        <w:tc>
          <w:tcPr>
            <w:tcW w:w="482" w:type="pct"/>
            <w:vMerge/>
            <w:vAlign w:val="center"/>
          </w:tcPr>
          <w:p w14:paraId="47708CD8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43D821B8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军事类</w:t>
            </w:r>
          </w:p>
        </w:tc>
        <w:tc>
          <w:tcPr>
            <w:tcW w:w="437" w:type="pct"/>
            <w:vAlign w:val="center"/>
          </w:tcPr>
          <w:p w14:paraId="55927539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</w:t>
            </w:r>
          </w:p>
        </w:tc>
        <w:tc>
          <w:tcPr>
            <w:tcW w:w="457" w:type="pct"/>
            <w:vAlign w:val="center"/>
          </w:tcPr>
          <w:p w14:paraId="6EA7DC54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1.25</w:t>
            </w:r>
          </w:p>
        </w:tc>
        <w:tc>
          <w:tcPr>
            <w:tcW w:w="656" w:type="pct"/>
            <w:vAlign w:val="center"/>
          </w:tcPr>
          <w:p w14:paraId="38BC6D70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2w</w:t>
            </w:r>
          </w:p>
        </w:tc>
        <w:tc>
          <w:tcPr>
            <w:tcW w:w="412" w:type="pct"/>
            <w:vAlign w:val="center"/>
          </w:tcPr>
          <w:p w14:paraId="2FBF4352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</w:t>
            </w:r>
          </w:p>
        </w:tc>
        <w:tc>
          <w:tcPr>
            <w:tcW w:w="504" w:type="pct"/>
            <w:vAlign w:val="center"/>
          </w:tcPr>
          <w:p w14:paraId="57866E44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1.25</w:t>
            </w:r>
          </w:p>
        </w:tc>
        <w:tc>
          <w:tcPr>
            <w:tcW w:w="559" w:type="pct"/>
            <w:vAlign w:val="center"/>
          </w:tcPr>
          <w:p w14:paraId="5B40F97F" w14:textId="77777777" w:rsidR="007C173F" w:rsidRDefault="00A16A76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2w</w:t>
            </w:r>
          </w:p>
        </w:tc>
        <w:tc>
          <w:tcPr>
            <w:tcW w:w="445" w:type="pct"/>
            <w:vAlign w:val="center"/>
          </w:tcPr>
          <w:p w14:paraId="66B07253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1.29</w:t>
            </w:r>
          </w:p>
        </w:tc>
      </w:tr>
      <w:tr w:rsidR="007C173F" w14:paraId="65B88449" w14:textId="77777777">
        <w:trPr>
          <w:trHeight w:val="379"/>
          <w:jc w:val="center"/>
        </w:trPr>
        <w:tc>
          <w:tcPr>
            <w:tcW w:w="482" w:type="pct"/>
            <w:vMerge/>
            <w:vAlign w:val="center"/>
          </w:tcPr>
          <w:p w14:paraId="276A6342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376E987E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其</w:t>
            </w:r>
            <w:r>
              <w:rPr>
                <w:rFonts w:ascii="Times New Roman" w:hAnsi="Times New Roman" w:cs="Times New Roman" w:hint="eastAsia"/>
                <w:bCs/>
                <w:color w:val="auto"/>
              </w:rPr>
              <w:t>它综合实践</w:t>
            </w:r>
          </w:p>
        </w:tc>
        <w:tc>
          <w:tcPr>
            <w:tcW w:w="437" w:type="pct"/>
            <w:vAlign w:val="center"/>
          </w:tcPr>
          <w:p w14:paraId="28DCF87C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57" w:type="pct"/>
            <w:vAlign w:val="center"/>
          </w:tcPr>
          <w:p w14:paraId="4035774D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656" w:type="pct"/>
            <w:vAlign w:val="center"/>
          </w:tcPr>
          <w:p w14:paraId="5E2E9F09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12" w:type="pct"/>
            <w:vAlign w:val="center"/>
          </w:tcPr>
          <w:p w14:paraId="3D9802D9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04" w:type="pct"/>
            <w:vAlign w:val="center"/>
          </w:tcPr>
          <w:p w14:paraId="0BB20BDD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59" w:type="pct"/>
            <w:vAlign w:val="center"/>
          </w:tcPr>
          <w:p w14:paraId="487DC645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445" w:type="pct"/>
            <w:vAlign w:val="center"/>
          </w:tcPr>
          <w:p w14:paraId="1C2C2C9F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30FA90DE" w14:textId="77777777">
        <w:trPr>
          <w:trHeight w:val="396"/>
          <w:jc w:val="center"/>
        </w:trPr>
        <w:tc>
          <w:tcPr>
            <w:tcW w:w="482" w:type="pct"/>
            <w:vMerge/>
            <w:vAlign w:val="center"/>
          </w:tcPr>
          <w:p w14:paraId="72B7CB05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047" w:type="pct"/>
            <w:gridSpan w:val="2"/>
            <w:vAlign w:val="center"/>
          </w:tcPr>
          <w:p w14:paraId="0FF46B3E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宋体" w:eastAsia="宋体" w:hAnsi="宋体" w:cs="宋体" w:hint="eastAsia"/>
                <w:bCs/>
                <w:color w:val="auto"/>
              </w:rPr>
              <w:t>小</w:t>
            </w:r>
            <w:r>
              <w:rPr>
                <w:rFonts w:ascii="Times New Roman" w:hAnsi="Times New Roman" w:cs="Times New Roman" w:hint="eastAsia"/>
                <w:bCs/>
                <w:color w:val="auto"/>
              </w:rPr>
              <w:t>计</w:t>
            </w:r>
          </w:p>
        </w:tc>
        <w:tc>
          <w:tcPr>
            <w:tcW w:w="437" w:type="pct"/>
            <w:vAlign w:val="center"/>
          </w:tcPr>
          <w:p w14:paraId="2EC2D6B5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57" w:type="pct"/>
            <w:vAlign w:val="center"/>
          </w:tcPr>
          <w:p w14:paraId="03B3A58A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656" w:type="pct"/>
            <w:vAlign w:val="center"/>
          </w:tcPr>
          <w:p w14:paraId="1DE2530F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12" w:type="pct"/>
            <w:vAlign w:val="center"/>
          </w:tcPr>
          <w:p w14:paraId="0E993B92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04" w:type="pct"/>
            <w:vAlign w:val="center"/>
          </w:tcPr>
          <w:p w14:paraId="278F10B4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559" w:type="pct"/>
            <w:vAlign w:val="center"/>
          </w:tcPr>
          <w:p w14:paraId="368099DD" w14:textId="77777777" w:rsidR="007C173F" w:rsidRDefault="007C173F">
            <w:pPr>
              <w:jc w:val="center"/>
              <w:rPr>
                <w:rFonts w:ascii="Times New Roman" w:hAnsi="Times New Roman" w:cs="Times New Roman"/>
                <w:bCs/>
                <w:color w:val="auto"/>
                <w:highlight w:val="yellow"/>
              </w:rPr>
            </w:pPr>
          </w:p>
        </w:tc>
        <w:tc>
          <w:tcPr>
            <w:tcW w:w="445" w:type="pct"/>
            <w:vAlign w:val="center"/>
          </w:tcPr>
          <w:p w14:paraId="7E9B9045" w14:textId="77777777" w:rsidR="007C173F" w:rsidRDefault="007C173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7C173F" w14:paraId="675EFB00" w14:textId="77777777">
        <w:trPr>
          <w:trHeight w:val="471"/>
          <w:jc w:val="center"/>
        </w:trPr>
        <w:tc>
          <w:tcPr>
            <w:tcW w:w="1530" w:type="pct"/>
            <w:gridSpan w:val="3"/>
            <w:vAlign w:val="center"/>
          </w:tcPr>
          <w:p w14:paraId="17945A69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</w:rPr>
              <w:t>总</w:t>
            </w:r>
            <w:r>
              <w:rPr>
                <w:rFonts w:ascii="宋体" w:eastAsia="宋体" w:hAnsi="宋体" w:cs="宋体" w:hint="eastAsia"/>
                <w:bCs/>
                <w:color w:val="auto"/>
              </w:rPr>
              <w:t>计</w:t>
            </w:r>
          </w:p>
        </w:tc>
        <w:tc>
          <w:tcPr>
            <w:tcW w:w="437" w:type="pct"/>
            <w:vAlign w:val="center"/>
          </w:tcPr>
          <w:p w14:paraId="315D25BE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160</w:t>
            </w:r>
          </w:p>
        </w:tc>
        <w:tc>
          <w:tcPr>
            <w:tcW w:w="457" w:type="pct"/>
            <w:vAlign w:val="center"/>
          </w:tcPr>
          <w:p w14:paraId="5D7DBB52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100</w:t>
            </w:r>
          </w:p>
        </w:tc>
        <w:tc>
          <w:tcPr>
            <w:tcW w:w="656" w:type="pct"/>
            <w:vAlign w:val="center"/>
          </w:tcPr>
          <w:p w14:paraId="3B8815B3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2396+35w</w:t>
            </w:r>
          </w:p>
        </w:tc>
        <w:tc>
          <w:tcPr>
            <w:tcW w:w="412" w:type="pct"/>
            <w:vAlign w:val="center"/>
          </w:tcPr>
          <w:p w14:paraId="6EB556DB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  <w:highlight w:val="yellow"/>
              </w:rPr>
            </w:pP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47</w:t>
            </w:r>
          </w:p>
        </w:tc>
        <w:tc>
          <w:tcPr>
            <w:tcW w:w="504" w:type="pct"/>
            <w:vAlign w:val="center"/>
          </w:tcPr>
          <w:p w14:paraId="3DD1FFCD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  <w:highlight w:val="yellow"/>
              </w:rPr>
            </w:pPr>
            <w:r>
              <w:rPr>
                <w:rFonts w:ascii="Times New Roman" w:hAnsi="Times New Roman" w:hint="eastAsia"/>
                <w:bCs/>
                <w:color w:val="auto"/>
              </w:rPr>
              <w:t>2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9.38</w:t>
            </w:r>
          </w:p>
        </w:tc>
        <w:tc>
          <w:tcPr>
            <w:tcW w:w="559" w:type="pct"/>
            <w:vAlign w:val="center"/>
          </w:tcPr>
          <w:p w14:paraId="3C4F3935" w14:textId="77777777" w:rsidR="007C173F" w:rsidRDefault="00A16A76">
            <w:pPr>
              <w:jc w:val="center"/>
              <w:rPr>
                <w:rFonts w:ascii="Times New Roman" w:eastAsiaTheme="minorEastAsia" w:hAnsi="Times New Roman" w:cs="Times New Roman"/>
                <w:bCs/>
                <w:color w:val="auto"/>
                <w:highlight w:val="yellow"/>
              </w:rPr>
            </w:pPr>
            <w:r>
              <w:rPr>
                <w:rFonts w:ascii="Times New Roman" w:hAnsi="Times New Roman" w:hint="eastAsia"/>
                <w:bCs/>
                <w:color w:val="auto"/>
              </w:rPr>
              <w:t>4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5</w:t>
            </w:r>
            <w:r>
              <w:rPr>
                <w:rFonts w:ascii="Times New Roman" w:hAnsi="Times New Roman"/>
                <w:bCs/>
                <w:color w:val="auto"/>
              </w:rPr>
              <w:t>8</w:t>
            </w:r>
            <w:r>
              <w:rPr>
                <w:rFonts w:ascii="Times New Roman" w:hAnsi="Times New Roman" w:hint="eastAsia"/>
                <w:bCs/>
                <w:color w:val="auto"/>
              </w:rPr>
              <w:t>+3</w:t>
            </w:r>
            <w:r>
              <w:rPr>
                <w:rFonts w:ascii="Times New Roman" w:eastAsiaTheme="minorEastAsia" w:hAnsi="Times New Roman" w:hint="eastAsia"/>
                <w:bCs/>
                <w:color w:val="auto"/>
              </w:rPr>
              <w:t>5</w:t>
            </w:r>
            <w:r>
              <w:rPr>
                <w:rFonts w:ascii="Times New Roman" w:hAnsi="Times New Roman" w:hint="eastAsia"/>
                <w:bCs/>
                <w:color w:val="auto"/>
              </w:rPr>
              <w:t>w</w:t>
            </w:r>
          </w:p>
        </w:tc>
        <w:tc>
          <w:tcPr>
            <w:tcW w:w="445" w:type="pct"/>
            <w:vAlign w:val="center"/>
          </w:tcPr>
          <w:p w14:paraId="46528902" w14:textId="77777777" w:rsidR="007C173F" w:rsidRDefault="00A16A7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Theme="minorEastAsia" w:hAnsi="Times New Roman" w:cs="Times New Roman"/>
                <w:bCs/>
                <w:color w:val="auto"/>
              </w:rPr>
            </w:pPr>
            <w:r>
              <w:rPr>
                <w:rFonts w:ascii="Times New Roman" w:eastAsiaTheme="minorEastAsia" w:hAnsi="Times New Roman" w:cs="Times New Roman" w:hint="eastAsia"/>
                <w:bCs/>
                <w:color w:val="auto"/>
              </w:rPr>
              <w:t>37.40</w:t>
            </w:r>
          </w:p>
        </w:tc>
      </w:tr>
    </w:tbl>
    <w:p w14:paraId="2E5B53D9" w14:textId="77777777" w:rsidR="007C173F" w:rsidRDefault="00A16A76">
      <w:pPr>
        <w:rPr>
          <w:color w:val="auto"/>
        </w:rPr>
      </w:pPr>
      <w:r>
        <w:rPr>
          <w:rFonts w:ascii="宋体" w:eastAsia="宋体" w:hAnsi="宋体" w:cs="宋体" w:hint="eastAsia"/>
          <w:b/>
          <w:bCs/>
          <w:color w:val="auto"/>
        </w:rPr>
        <w:t>注：1W按20学时换算。</w:t>
      </w:r>
    </w:p>
    <w:p w14:paraId="41D010B5" w14:textId="77777777" w:rsidR="007C173F" w:rsidRDefault="007C173F">
      <w:pPr>
        <w:kinsoku/>
        <w:spacing w:line="560" w:lineRule="exact"/>
        <w:jc w:val="both"/>
        <w:rPr>
          <w:rFonts w:ascii="黑体" w:eastAsia="黑体" w:hAnsi="黑体" w:cs="黑体"/>
          <w:color w:val="auto"/>
          <w:spacing w:val="7"/>
          <w:sz w:val="24"/>
          <w:szCs w:val="22"/>
        </w:rPr>
      </w:pPr>
    </w:p>
    <w:p w14:paraId="661DC432" w14:textId="77777777" w:rsidR="007C173F" w:rsidRDefault="007C173F">
      <w:pPr>
        <w:kinsoku/>
        <w:spacing w:line="15" w:lineRule="exact"/>
        <w:rPr>
          <w:rFonts w:ascii="Times New Roman" w:hAnsi="Times New Roman"/>
          <w:color w:val="auto"/>
        </w:rPr>
      </w:pPr>
    </w:p>
    <w:p w14:paraId="1EFCA734" w14:textId="77777777" w:rsidR="007C173F" w:rsidRDefault="00A16A76">
      <w:pPr>
        <w:kinsoku/>
        <w:spacing w:line="56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t>七、学制与学位</w:t>
      </w:r>
    </w:p>
    <w:p w14:paraId="5DA74517" w14:textId="77777777" w:rsidR="007C173F" w:rsidRDefault="00A16A76" w:rsidP="00A16A76">
      <w:pPr>
        <w:kinsoku/>
        <w:spacing w:line="560" w:lineRule="exact"/>
        <w:ind w:firstLineChars="200" w:firstLine="496"/>
        <w:rPr>
          <w:rFonts w:asciiTheme="majorEastAsia" w:eastAsiaTheme="majorEastAsia" w:hAnsiTheme="majorEastAsia" w:cstheme="majorEastAsia"/>
          <w:color w:val="auto"/>
          <w:spacing w:val="8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pacing w:val="8"/>
          <w:sz w:val="24"/>
          <w:szCs w:val="24"/>
        </w:rPr>
        <w:t>标准学制：4年，学习年限3-6年</w:t>
      </w:r>
    </w:p>
    <w:p w14:paraId="75125CF7" w14:textId="77777777" w:rsidR="007C173F" w:rsidRDefault="00A16A76" w:rsidP="00A16A76">
      <w:pPr>
        <w:kinsoku/>
        <w:spacing w:line="560" w:lineRule="exact"/>
        <w:ind w:firstLineChars="196" w:firstLine="486"/>
        <w:rPr>
          <w:rFonts w:asciiTheme="majorEastAsia" w:eastAsiaTheme="majorEastAsia" w:hAnsiTheme="majorEastAsia" w:cstheme="majorEastAsia"/>
          <w:color w:val="auto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color w:val="auto"/>
          <w:spacing w:val="8"/>
          <w:sz w:val="24"/>
          <w:szCs w:val="24"/>
        </w:rPr>
        <w:t>授予学位：理学学士学位</w:t>
      </w:r>
    </w:p>
    <w:p w14:paraId="5C857939" w14:textId="77777777" w:rsidR="007C173F" w:rsidRDefault="00A16A76">
      <w:pPr>
        <w:kinsoku/>
        <w:spacing w:line="560" w:lineRule="exact"/>
        <w:jc w:val="both"/>
        <w:rPr>
          <w:rFonts w:ascii="黑体" w:eastAsia="黑体" w:hAnsi="黑体" w:cs="黑体"/>
          <w:color w:val="auto"/>
          <w:spacing w:val="4"/>
          <w:sz w:val="28"/>
          <w:szCs w:val="28"/>
        </w:rPr>
      </w:pPr>
      <w:r>
        <w:rPr>
          <w:rFonts w:ascii="黑体" w:eastAsia="黑体" w:hAnsi="黑体" w:cs="黑体" w:hint="eastAsia"/>
          <w:color w:val="auto"/>
          <w:spacing w:val="4"/>
          <w:sz w:val="28"/>
          <w:szCs w:val="28"/>
        </w:rPr>
        <w:t>八、专业核心课程</w:t>
      </w:r>
    </w:p>
    <w:p w14:paraId="33FA69C9" w14:textId="77777777" w:rsidR="007C173F" w:rsidRDefault="00A16A76" w:rsidP="00A16A76">
      <w:pPr>
        <w:kinsoku/>
        <w:spacing w:line="560" w:lineRule="exact"/>
        <w:ind w:firstLineChars="200" w:firstLine="508"/>
        <w:rPr>
          <w:rFonts w:ascii="宋体" w:eastAsia="宋体" w:hAnsi="宋体" w:cs="宋体"/>
          <w:color w:val="auto"/>
          <w:spacing w:val="14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pacing w:val="14"/>
          <w:sz w:val="24"/>
          <w:szCs w:val="24"/>
        </w:rPr>
        <w:t>结构化学、有机反应机理、中级无机化学、有机合成化学、表面活性剂与界面化学、有机波谱分析、现代分析技术、生产实习。</w:t>
      </w:r>
    </w:p>
    <w:p w14:paraId="44175849" w14:textId="77777777" w:rsidR="007C173F" w:rsidRDefault="007C173F">
      <w:pPr>
        <w:tabs>
          <w:tab w:val="left" w:pos="3570"/>
        </w:tabs>
        <w:kinsoku/>
        <w:spacing w:before="60" w:line="560" w:lineRule="exact"/>
        <w:jc w:val="both"/>
        <w:rPr>
          <w:rFonts w:ascii="仿宋" w:eastAsia="仿宋" w:hAnsi="仿宋" w:cs="仿宋"/>
          <w:color w:val="auto"/>
          <w:spacing w:val="7"/>
          <w:sz w:val="28"/>
          <w:szCs w:val="28"/>
        </w:rPr>
      </w:pPr>
    </w:p>
    <w:sectPr w:rsidR="007C173F">
      <w:footerReference w:type="default" r:id="rId7"/>
      <w:pgSz w:w="11907" w:h="16839"/>
      <w:pgMar w:top="1134" w:right="1406" w:bottom="1134" w:left="1406" w:header="1108" w:footer="1134" w:gutter="0"/>
      <w:cols w:space="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9604B" w14:textId="77777777" w:rsidR="0072480B" w:rsidRDefault="00A16A76">
      <w:r>
        <w:separator/>
      </w:r>
    </w:p>
  </w:endnote>
  <w:endnote w:type="continuationSeparator" w:id="0">
    <w:p w14:paraId="2B1E1745" w14:textId="77777777" w:rsidR="0072480B" w:rsidRDefault="00A1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FEDEC71-7D10-4B9E-9066-E1215B18068D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533699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4CF358E8" w14:textId="77777777" w:rsidR="007C173F" w:rsidRDefault="00E54817">
        <w:pPr>
          <w:pStyle w:val="a5"/>
          <w:jc w:val="center"/>
          <w:rPr>
            <w:rFonts w:asciiTheme="minorEastAsia" w:eastAsiaTheme="minorEastAsia" w:hAnsiTheme="minorEastAsia"/>
            <w:sz w:val="28"/>
            <w:szCs w:val="28"/>
          </w:rPr>
        </w:pPr>
      </w:p>
    </w:sdtContent>
  </w:sdt>
  <w:p w14:paraId="2EA69BBE" w14:textId="77777777" w:rsidR="007C173F" w:rsidRDefault="007C17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4EC1E" w14:textId="77777777" w:rsidR="0072480B" w:rsidRDefault="00A16A76">
      <w:r>
        <w:separator/>
      </w:r>
    </w:p>
  </w:footnote>
  <w:footnote w:type="continuationSeparator" w:id="0">
    <w:p w14:paraId="2FE5BFF0" w14:textId="77777777" w:rsidR="0072480B" w:rsidRDefault="00A16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isplayBackgroundShape/>
  <w:embedTrueTypeFonts/>
  <w:saveSubsetFonts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Y2M0Mjg4ZTJiZWIwMWFlYTIxNzMzZjAyNWE1NjAifQ=="/>
  </w:docVars>
  <w:rsids>
    <w:rsidRoot w:val="00BA0ED1"/>
    <w:rsid w:val="0000199D"/>
    <w:rsid w:val="00014C1B"/>
    <w:rsid w:val="000214D0"/>
    <w:rsid w:val="00034BC6"/>
    <w:rsid w:val="00035BA9"/>
    <w:rsid w:val="00037E6E"/>
    <w:rsid w:val="00090289"/>
    <w:rsid w:val="000A2B30"/>
    <w:rsid w:val="000A7805"/>
    <w:rsid w:val="000C746C"/>
    <w:rsid w:val="000E79D6"/>
    <w:rsid w:val="001274E1"/>
    <w:rsid w:val="00150EBD"/>
    <w:rsid w:val="0017761E"/>
    <w:rsid w:val="00183820"/>
    <w:rsid w:val="00183B11"/>
    <w:rsid w:val="001C711A"/>
    <w:rsid w:val="001D4A17"/>
    <w:rsid w:val="00216622"/>
    <w:rsid w:val="0022202C"/>
    <w:rsid w:val="00244598"/>
    <w:rsid w:val="002A4E57"/>
    <w:rsid w:val="002A5A09"/>
    <w:rsid w:val="002A5A3F"/>
    <w:rsid w:val="002C24C0"/>
    <w:rsid w:val="00357E9B"/>
    <w:rsid w:val="00387485"/>
    <w:rsid w:val="003A0D32"/>
    <w:rsid w:val="003A657D"/>
    <w:rsid w:val="003B5850"/>
    <w:rsid w:val="003C7443"/>
    <w:rsid w:val="00421DF1"/>
    <w:rsid w:val="00454023"/>
    <w:rsid w:val="00473031"/>
    <w:rsid w:val="004A2CF5"/>
    <w:rsid w:val="004B0390"/>
    <w:rsid w:val="004B221A"/>
    <w:rsid w:val="004F0771"/>
    <w:rsid w:val="00501F48"/>
    <w:rsid w:val="00507A9D"/>
    <w:rsid w:val="00542F40"/>
    <w:rsid w:val="0055549D"/>
    <w:rsid w:val="0055728C"/>
    <w:rsid w:val="005A26F9"/>
    <w:rsid w:val="005A729D"/>
    <w:rsid w:val="005B0C22"/>
    <w:rsid w:val="005D1C90"/>
    <w:rsid w:val="005E6D75"/>
    <w:rsid w:val="0060712E"/>
    <w:rsid w:val="006639C2"/>
    <w:rsid w:val="0066561E"/>
    <w:rsid w:val="0067054E"/>
    <w:rsid w:val="00677821"/>
    <w:rsid w:val="00686FA2"/>
    <w:rsid w:val="006D0A5E"/>
    <w:rsid w:val="006D7799"/>
    <w:rsid w:val="0072480B"/>
    <w:rsid w:val="007264F7"/>
    <w:rsid w:val="00735DB5"/>
    <w:rsid w:val="007443B7"/>
    <w:rsid w:val="0074695D"/>
    <w:rsid w:val="00772C1C"/>
    <w:rsid w:val="00774DD8"/>
    <w:rsid w:val="007B48A8"/>
    <w:rsid w:val="007C173F"/>
    <w:rsid w:val="007F1767"/>
    <w:rsid w:val="00816E90"/>
    <w:rsid w:val="00823618"/>
    <w:rsid w:val="008263D9"/>
    <w:rsid w:val="00876B69"/>
    <w:rsid w:val="008D3925"/>
    <w:rsid w:val="00903CCC"/>
    <w:rsid w:val="00911845"/>
    <w:rsid w:val="00922C88"/>
    <w:rsid w:val="00937DE2"/>
    <w:rsid w:val="00955C48"/>
    <w:rsid w:val="009D37A5"/>
    <w:rsid w:val="009D7898"/>
    <w:rsid w:val="00A048B0"/>
    <w:rsid w:val="00A16A76"/>
    <w:rsid w:val="00A41775"/>
    <w:rsid w:val="00A771AD"/>
    <w:rsid w:val="00AA5D6D"/>
    <w:rsid w:val="00AD1BA7"/>
    <w:rsid w:val="00AE32A5"/>
    <w:rsid w:val="00B233E5"/>
    <w:rsid w:val="00B52B3A"/>
    <w:rsid w:val="00B84E6E"/>
    <w:rsid w:val="00B978DD"/>
    <w:rsid w:val="00BA0ED1"/>
    <w:rsid w:val="00BA42D7"/>
    <w:rsid w:val="00BB6072"/>
    <w:rsid w:val="00BF2974"/>
    <w:rsid w:val="00C00AB5"/>
    <w:rsid w:val="00C424B7"/>
    <w:rsid w:val="00C626FD"/>
    <w:rsid w:val="00C817FF"/>
    <w:rsid w:val="00C85771"/>
    <w:rsid w:val="00CA0619"/>
    <w:rsid w:val="00D1375D"/>
    <w:rsid w:val="00D30DB9"/>
    <w:rsid w:val="00D44A80"/>
    <w:rsid w:val="00D56D7B"/>
    <w:rsid w:val="00D82148"/>
    <w:rsid w:val="00DB6094"/>
    <w:rsid w:val="00DC36EA"/>
    <w:rsid w:val="00DD5EDD"/>
    <w:rsid w:val="00E269AA"/>
    <w:rsid w:val="00E30B57"/>
    <w:rsid w:val="00E45DF3"/>
    <w:rsid w:val="00E51082"/>
    <w:rsid w:val="00E927B1"/>
    <w:rsid w:val="00EA4CDC"/>
    <w:rsid w:val="00EB2D3D"/>
    <w:rsid w:val="00EF15B7"/>
    <w:rsid w:val="00F56E14"/>
    <w:rsid w:val="00FB074A"/>
    <w:rsid w:val="01454703"/>
    <w:rsid w:val="01F20710"/>
    <w:rsid w:val="022E212F"/>
    <w:rsid w:val="024D1A1D"/>
    <w:rsid w:val="028D3650"/>
    <w:rsid w:val="03AE3AA0"/>
    <w:rsid w:val="05F70902"/>
    <w:rsid w:val="07FD6608"/>
    <w:rsid w:val="08744BDF"/>
    <w:rsid w:val="09264ACD"/>
    <w:rsid w:val="0977065A"/>
    <w:rsid w:val="0B9753AD"/>
    <w:rsid w:val="0BA1720E"/>
    <w:rsid w:val="0BAB2AA6"/>
    <w:rsid w:val="0BB91287"/>
    <w:rsid w:val="0D1D5845"/>
    <w:rsid w:val="0E6E3645"/>
    <w:rsid w:val="0E9F7B7A"/>
    <w:rsid w:val="1025066F"/>
    <w:rsid w:val="10632EF8"/>
    <w:rsid w:val="10E36BC5"/>
    <w:rsid w:val="1122064A"/>
    <w:rsid w:val="11A07FD4"/>
    <w:rsid w:val="11AC522E"/>
    <w:rsid w:val="11CB37C8"/>
    <w:rsid w:val="136A6610"/>
    <w:rsid w:val="13EE3A98"/>
    <w:rsid w:val="13F83651"/>
    <w:rsid w:val="14D6571F"/>
    <w:rsid w:val="14E261C9"/>
    <w:rsid w:val="151439D2"/>
    <w:rsid w:val="15270F29"/>
    <w:rsid w:val="165B2F3A"/>
    <w:rsid w:val="1672275E"/>
    <w:rsid w:val="170B4961"/>
    <w:rsid w:val="17703C75"/>
    <w:rsid w:val="18A91570"/>
    <w:rsid w:val="196071E6"/>
    <w:rsid w:val="1B476371"/>
    <w:rsid w:val="1B5F0D1E"/>
    <w:rsid w:val="1B7C159E"/>
    <w:rsid w:val="1C9A2A0F"/>
    <w:rsid w:val="1D04257E"/>
    <w:rsid w:val="1EE021C5"/>
    <w:rsid w:val="1F0C3366"/>
    <w:rsid w:val="201120ED"/>
    <w:rsid w:val="201B7F11"/>
    <w:rsid w:val="20387439"/>
    <w:rsid w:val="205B6DE8"/>
    <w:rsid w:val="218E05D9"/>
    <w:rsid w:val="219537A4"/>
    <w:rsid w:val="21E1216B"/>
    <w:rsid w:val="22437BC1"/>
    <w:rsid w:val="229B7A29"/>
    <w:rsid w:val="22F42DCC"/>
    <w:rsid w:val="23A02178"/>
    <w:rsid w:val="24264F54"/>
    <w:rsid w:val="2480698E"/>
    <w:rsid w:val="24882D62"/>
    <w:rsid w:val="25754238"/>
    <w:rsid w:val="25AB5124"/>
    <w:rsid w:val="268E45DB"/>
    <w:rsid w:val="269F1FF9"/>
    <w:rsid w:val="26A2469F"/>
    <w:rsid w:val="26C058DB"/>
    <w:rsid w:val="270C275B"/>
    <w:rsid w:val="2762006E"/>
    <w:rsid w:val="278C42F2"/>
    <w:rsid w:val="28026FB4"/>
    <w:rsid w:val="28137B19"/>
    <w:rsid w:val="28670B37"/>
    <w:rsid w:val="28695261"/>
    <w:rsid w:val="2A0077A5"/>
    <w:rsid w:val="2A557F75"/>
    <w:rsid w:val="2AF67453"/>
    <w:rsid w:val="2B6F1311"/>
    <w:rsid w:val="2BFC74E3"/>
    <w:rsid w:val="2C0A28E6"/>
    <w:rsid w:val="2C215D81"/>
    <w:rsid w:val="2C5767DE"/>
    <w:rsid w:val="2C7530B9"/>
    <w:rsid w:val="2C8A4AF9"/>
    <w:rsid w:val="2CBA5C99"/>
    <w:rsid w:val="2CC26FDF"/>
    <w:rsid w:val="2D8F1639"/>
    <w:rsid w:val="2D9139BA"/>
    <w:rsid w:val="2E0228D1"/>
    <w:rsid w:val="2E1D764B"/>
    <w:rsid w:val="2E5A1FFE"/>
    <w:rsid w:val="30313232"/>
    <w:rsid w:val="304E6A48"/>
    <w:rsid w:val="316D3DF6"/>
    <w:rsid w:val="31885988"/>
    <w:rsid w:val="31A17923"/>
    <w:rsid w:val="320F75A3"/>
    <w:rsid w:val="32847455"/>
    <w:rsid w:val="32EB1476"/>
    <w:rsid w:val="337A7851"/>
    <w:rsid w:val="356D0E7C"/>
    <w:rsid w:val="35A9579F"/>
    <w:rsid w:val="36BA5D6D"/>
    <w:rsid w:val="36D04FF5"/>
    <w:rsid w:val="37501031"/>
    <w:rsid w:val="37590640"/>
    <w:rsid w:val="375E1DE2"/>
    <w:rsid w:val="383C2774"/>
    <w:rsid w:val="390E35B7"/>
    <w:rsid w:val="39FB5327"/>
    <w:rsid w:val="3A914FF9"/>
    <w:rsid w:val="3BB865B6"/>
    <w:rsid w:val="3BED5E65"/>
    <w:rsid w:val="3DFB09DB"/>
    <w:rsid w:val="3E70582C"/>
    <w:rsid w:val="3F0331D2"/>
    <w:rsid w:val="3F31011D"/>
    <w:rsid w:val="3F4D34B9"/>
    <w:rsid w:val="3F6525B0"/>
    <w:rsid w:val="3FA30668"/>
    <w:rsid w:val="40041976"/>
    <w:rsid w:val="407050F1"/>
    <w:rsid w:val="424A6593"/>
    <w:rsid w:val="42821601"/>
    <w:rsid w:val="42C811FF"/>
    <w:rsid w:val="43346E69"/>
    <w:rsid w:val="438F4579"/>
    <w:rsid w:val="43DA6B22"/>
    <w:rsid w:val="440921E4"/>
    <w:rsid w:val="441C3545"/>
    <w:rsid w:val="446948F1"/>
    <w:rsid w:val="447E547B"/>
    <w:rsid w:val="44951994"/>
    <w:rsid w:val="45A309D3"/>
    <w:rsid w:val="45CC01E5"/>
    <w:rsid w:val="47242D51"/>
    <w:rsid w:val="482F5DC6"/>
    <w:rsid w:val="48535370"/>
    <w:rsid w:val="48A83C8F"/>
    <w:rsid w:val="492F6EEB"/>
    <w:rsid w:val="49EC3FB3"/>
    <w:rsid w:val="4A0A614B"/>
    <w:rsid w:val="4A770517"/>
    <w:rsid w:val="4A895CED"/>
    <w:rsid w:val="4AB05EAC"/>
    <w:rsid w:val="4ABD5996"/>
    <w:rsid w:val="4B1C02F8"/>
    <w:rsid w:val="4C9702F9"/>
    <w:rsid w:val="4D191146"/>
    <w:rsid w:val="4E396780"/>
    <w:rsid w:val="4FD84E7A"/>
    <w:rsid w:val="50A04ABE"/>
    <w:rsid w:val="51132CC3"/>
    <w:rsid w:val="52E74611"/>
    <w:rsid w:val="55A16B67"/>
    <w:rsid w:val="565C2507"/>
    <w:rsid w:val="577E683E"/>
    <w:rsid w:val="57F608FF"/>
    <w:rsid w:val="58E356F5"/>
    <w:rsid w:val="59084281"/>
    <w:rsid w:val="59AC5554"/>
    <w:rsid w:val="5A023C26"/>
    <w:rsid w:val="5A0D79FC"/>
    <w:rsid w:val="5A344EA3"/>
    <w:rsid w:val="5ACD3DB4"/>
    <w:rsid w:val="5B330DB9"/>
    <w:rsid w:val="5B357F4A"/>
    <w:rsid w:val="5D1A6C78"/>
    <w:rsid w:val="5E011BEC"/>
    <w:rsid w:val="5E0314BA"/>
    <w:rsid w:val="5E5E1A97"/>
    <w:rsid w:val="5F345E70"/>
    <w:rsid w:val="5F785D9C"/>
    <w:rsid w:val="5F8372B8"/>
    <w:rsid w:val="5FC95781"/>
    <w:rsid w:val="60737EFD"/>
    <w:rsid w:val="60BF3DBF"/>
    <w:rsid w:val="61C3079F"/>
    <w:rsid w:val="63381C06"/>
    <w:rsid w:val="640931CD"/>
    <w:rsid w:val="66F47DA2"/>
    <w:rsid w:val="674448D3"/>
    <w:rsid w:val="6746743A"/>
    <w:rsid w:val="67E64431"/>
    <w:rsid w:val="69054923"/>
    <w:rsid w:val="696A536C"/>
    <w:rsid w:val="69831701"/>
    <w:rsid w:val="6A0C2BB4"/>
    <w:rsid w:val="6A706DE0"/>
    <w:rsid w:val="6AA270B4"/>
    <w:rsid w:val="6AA87EC6"/>
    <w:rsid w:val="6BBD5B14"/>
    <w:rsid w:val="6C6770B8"/>
    <w:rsid w:val="6D1A3AF6"/>
    <w:rsid w:val="6D2C61F2"/>
    <w:rsid w:val="6D4260BE"/>
    <w:rsid w:val="6E5B69FB"/>
    <w:rsid w:val="6E650847"/>
    <w:rsid w:val="6EAE67D2"/>
    <w:rsid w:val="6ED75856"/>
    <w:rsid w:val="6ED956C3"/>
    <w:rsid w:val="6F4B0F13"/>
    <w:rsid w:val="6F6035E8"/>
    <w:rsid w:val="7075449A"/>
    <w:rsid w:val="70755E26"/>
    <w:rsid w:val="70CB230C"/>
    <w:rsid w:val="71C07997"/>
    <w:rsid w:val="726B7FBA"/>
    <w:rsid w:val="73592A5F"/>
    <w:rsid w:val="739E7864"/>
    <w:rsid w:val="73B9469D"/>
    <w:rsid w:val="73DF359C"/>
    <w:rsid w:val="73F8480B"/>
    <w:rsid w:val="762F5265"/>
    <w:rsid w:val="765207E8"/>
    <w:rsid w:val="77DC4DFE"/>
    <w:rsid w:val="79327D61"/>
    <w:rsid w:val="7A545986"/>
    <w:rsid w:val="7C142D60"/>
    <w:rsid w:val="7C444D20"/>
    <w:rsid w:val="7CE209E7"/>
    <w:rsid w:val="7CE26B65"/>
    <w:rsid w:val="7D1D05F1"/>
    <w:rsid w:val="7D5567E4"/>
    <w:rsid w:val="7DB3215D"/>
    <w:rsid w:val="7E5853BB"/>
    <w:rsid w:val="7EB22A7B"/>
    <w:rsid w:val="7EFE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spacing w:after="12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pPr>
      <w:tabs>
        <w:tab w:val="center" w:pos="4153"/>
        <w:tab w:val="right" w:pos="8306"/>
      </w:tabs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7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">
    <w:name w:val="页脚 Char"/>
    <w:basedOn w:val="a0"/>
    <w:link w:val="a5"/>
    <w:autoRedefine/>
    <w:uiPriority w:val="99"/>
    <w:qFormat/>
    <w:rPr>
      <w:rFonts w:ascii="Arial" w:eastAsia="Arial" w:hAnsi="Arial" w:cs="Arial"/>
      <w:snapToGrid w:val="0"/>
      <w:color w:val="000000"/>
      <w:sz w:val="18"/>
      <w:szCs w:val="21"/>
    </w:rPr>
  </w:style>
  <w:style w:type="paragraph" w:styleId="a8">
    <w:name w:val="List Paragraph"/>
    <w:basedOn w:val="a"/>
    <w:autoRedefine/>
    <w:uiPriority w:val="34"/>
    <w:qFormat/>
    <w:pPr>
      <w:ind w:firstLine="420"/>
    </w:pPr>
  </w:style>
  <w:style w:type="character" w:customStyle="1" w:styleId="Char">
    <w:name w:val="正文文本 Char"/>
    <w:basedOn w:val="a0"/>
    <w:link w:val="a3"/>
    <w:rPr>
      <w:rFonts w:ascii="Arial" w:eastAsia="Arial" w:hAnsi="Arial" w:cs="Arial"/>
      <w:snapToGrid w:val="0"/>
      <w:color w:val="000000"/>
      <w:sz w:val="21"/>
      <w:szCs w:val="21"/>
    </w:rPr>
  </w:style>
  <w:style w:type="character" w:customStyle="1" w:styleId="Char0">
    <w:name w:val="批注框文本 Char"/>
    <w:basedOn w:val="a0"/>
    <w:link w:val="a4"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spacing w:after="12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pPr>
      <w:tabs>
        <w:tab w:val="center" w:pos="4153"/>
        <w:tab w:val="right" w:pos="8306"/>
      </w:tabs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7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">
    <w:name w:val="页脚 Char"/>
    <w:basedOn w:val="a0"/>
    <w:link w:val="a5"/>
    <w:autoRedefine/>
    <w:uiPriority w:val="99"/>
    <w:qFormat/>
    <w:rPr>
      <w:rFonts w:ascii="Arial" w:eastAsia="Arial" w:hAnsi="Arial" w:cs="Arial"/>
      <w:snapToGrid w:val="0"/>
      <w:color w:val="000000"/>
      <w:sz w:val="18"/>
      <w:szCs w:val="21"/>
    </w:rPr>
  </w:style>
  <w:style w:type="paragraph" w:styleId="a8">
    <w:name w:val="List Paragraph"/>
    <w:basedOn w:val="a"/>
    <w:autoRedefine/>
    <w:uiPriority w:val="34"/>
    <w:qFormat/>
    <w:pPr>
      <w:ind w:firstLine="420"/>
    </w:pPr>
  </w:style>
  <w:style w:type="character" w:customStyle="1" w:styleId="Char">
    <w:name w:val="正文文本 Char"/>
    <w:basedOn w:val="a0"/>
    <w:link w:val="a3"/>
    <w:rPr>
      <w:rFonts w:ascii="Arial" w:eastAsia="Arial" w:hAnsi="Arial" w:cs="Arial"/>
      <w:snapToGrid w:val="0"/>
      <w:color w:val="000000"/>
      <w:sz w:val="21"/>
      <w:szCs w:val="21"/>
    </w:rPr>
  </w:style>
  <w:style w:type="character" w:customStyle="1" w:styleId="Char0">
    <w:name w:val="批注框文本 Char"/>
    <w:basedOn w:val="a0"/>
    <w:link w:val="a4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zcx</cp:lastModifiedBy>
  <cp:revision>45</cp:revision>
  <dcterms:created xsi:type="dcterms:W3CDTF">2024-05-04T15:55:00Z</dcterms:created>
  <dcterms:modified xsi:type="dcterms:W3CDTF">2025-04-15T09:07:00Z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2024-03-12T10:08:04Z</vt:filetime>
  </property>
  <property fmtid="{D5CDD505-2E9C-101B-9397-08002B2CF9AE}" pid="4" name="KSOProductBuildVer">
    <vt:lpwstr>2052-12.1.0.17133</vt:lpwstr>
  </property>
  <property fmtid="{D5CDD505-2E9C-101B-9397-08002B2CF9AE}" pid="5" name="ICV">
    <vt:lpwstr>B7AC32EEA7B84611827D0D6730F2193D_13</vt:lpwstr>
  </property>
</Properties>
</file>