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4EB2A5">
      <w:pPr>
        <w:kinsoku/>
        <w:spacing w:before="91" w:line="560" w:lineRule="exact"/>
        <w:jc w:val="center"/>
        <w:rPr>
          <w:rFonts w:ascii="宋体" w:hAnsi="宋体" w:eastAsia="宋体" w:cs="宋体"/>
          <w:color w:val="auto"/>
          <w:sz w:val="44"/>
          <w:szCs w:val="36"/>
        </w:rPr>
      </w:pPr>
      <w:r>
        <w:rPr>
          <w:rFonts w:hint="eastAsia" w:ascii="宋体" w:hAnsi="宋体" w:eastAsia="宋体" w:cs="宋体"/>
          <w:b/>
          <w:bCs/>
          <w:color w:val="auto"/>
          <w:spacing w:val="-2"/>
          <w:sz w:val="32"/>
          <w:szCs w:val="32"/>
        </w:rPr>
        <w:t>应用化学专业培养</w:t>
      </w:r>
      <w:r>
        <w:rPr>
          <w:rFonts w:hint="eastAsia" w:ascii="宋体" w:hAnsi="宋体" w:eastAsia="宋体" w:cs="宋体"/>
          <w:b/>
          <w:bCs/>
          <w:color w:val="auto"/>
          <w:spacing w:val="-1"/>
          <w:sz w:val="32"/>
          <w:szCs w:val="32"/>
        </w:rPr>
        <w:t>方案</w:t>
      </w:r>
    </w:p>
    <w:p w14:paraId="6F6B0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一、专业介绍</w:t>
      </w:r>
    </w:p>
    <w:p w14:paraId="24EF085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96" w:firstLineChars="200"/>
        <w:jc w:val="both"/>
        <w:textAlignment w:val="baseline"/>
        <w:rPr>
          <w:rFonts w:asciiTheme="majorEastAsia" w:hAnsiTheme="majorEastAsia" w:eastAsiaTheme="majorEastAsia" w:cstheme="majorEastAsia"/>
          <w:color w:val="auto"/>
          <w:spacing w:val="4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4"/>
          <w:sz w:val="24"/>
          <w:szCs w:val="24"/>
        </w:rPr>
        <w:t>天津科技大学应用化学专业立足我校的轻工底蕴，是以“精细化学品合成及分离分析”为特色的理科类复合创新型学术人才本科专业。构建了基础化学、精细化学品合成、化学品和食品等组分分离分析技术等三大类核心课程群。本专业为天津市一流专业建设点，以本专业为主要支撑点的化学学科进入全球</w:t>
      </w:r>
      <w:r>
        <w:rPr>
          <w:rFonts w:asciiTheme="majorEastAsia" w:hAnsiTheme="majorEastAsia" w:eastAsiaTheme="majorEastAsia" w:cstheme="majorEastAsia"/>
          <w:color w:val="auto"/>
          <w:spacing w:val="4"/>
          <w:sz w:val="24"/>
          <w:szCs w:val="24"/>
        </w:rPr>
        <w:t>ESI</w:t>
      </w:r>
      <w:r>
        <w:rPr>
          <w:rFonts w:hint="eastAsia" w:asciiTheme="majorEastAsia" w:hAnsiTheme="majorEastAsia" w:eastAsiaTheme="majorEastAsia" w:cstheme="majorEastAsia"/>
          <w:color w:val="auto"/>
          <w:spacing w:val="4"/>
          <w:sz w:val="24"/>
          <w:szCs w:val="24"/>
        </w:rPr>
        <w:t>学科前</w:t>
      </w:r>
      <w:r>
        <w:rPr>
          <w:rFonts w:asciiTheme="majorEastAsia" w:hAnsiTheme="majorEastAsia" w:eastAsiaTheme="majorEastAsia" w:cstheme="majorEastAsia"/>
          <w:color w:val="auto"/>
          <w:spacing w:val="4"/>
          <w:sz w:val="24"/>
          <w:szCs w:val="24"/>
        </w:rPr>
        <w:t>1%</w:t>
      </w:r>
      <w:r>
        <w:rPr>
          <w:rFonts w:hint="eastAsia" w:asciiTheme="majorEastAsia" w:hAnsiTheme="majorEastAsia" w:eastAsiaTheme="majorEastAsia" w:cstheme="majorEastAsia"/>
          <w:color w:val="auto"/>
          <w:spacing w:val="4"/>
          <w:sz w:val="24"/>
          <w:szCs w:val="24"/>
        </w:rPr>
        <w:t>。</w:t>
      </w:r>
    </w:p>
    <w:p w14:paraId="7FC836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</w:p>
    <w:p w14:paraId="178992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二、培养目标</w:t>
      </w:r>
    </w:p>
    <w:p w14:paraId="41EE09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96" w:firstLineChars="200"/>
        <w:jc w:val="both"/>
        <w:textAlignment w:val="baseline"/>
        <w:rPr>
          <w:rFonts w:ascii="宋体" w:hAnsi="宋体" w:eastAsia="宋体" w:cs="宋体"/>
          <w:color w:val="auto"/>
          <w:spacing w:val="4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本专业立足京津冀、面向全国，培养德、智、体、美、劳全面发展的社会主义建设者和接班人。培养学生热爱祖国，富有家国情怀，具有良好的职业道德、科学、文化素养和高度的社会责任感。掌握自然科学理论知识和化学专业知识技能，系统掌握精细化学品合成的基本原理及其应用技术，具有创新意识、国际视野以及解决复杂化学问题的能力。培养知识扎实、身心健康，能从事化学、化工、医药、食品、能源、环保等领域的研发、生产和管理工作的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  <w:highlight w:val="none"/>
        </w:rPr>
        <w:t>高素质创新型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人才。</w:t>
      </w:r>
    </w:p>
    <w:p w14:paraId="378EC363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58" w:firstLineChars="200"/>
        <w:jc w:val="both"/>
        <w:textAlignment w:val="baseline"/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</w:pPr>
      <w:r>
        <w:rPr>
          <w:rFonts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目标1</w:t>
      </w:r>
      <w:r>
        <w:rPr>
          <w:rFonts w:hint="eastAsia"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（职业能力）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适应化学工业和区域经济社会发展需要，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具有良好的职业道德和社会责任感，有能力和意愿服务于社会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；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能够在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化学、化工、医药、食品、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能源、环保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等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领域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中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，从事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科学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研究、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技术开发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、生产及经营管理等方面工作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的职业能力；</w:t>
      </w:r>
    </w:p>
    <w:p w14:paraId="2489820D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58" w:firstLineChars="200"/>
        <w:jc w:val="both"/>
        <w:textAlignment w:val="baseline"/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</w:pPr>
      <w:r>
        <w:rPr>
          <w:rFonts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目标2</w:t>
      </w:r>
      <w:r>
        <w:rPr>
          <w:rFonts w:hint="eastAsia"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（专业能力）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具备设计和实施化学产品合成和分离分析的实验能力；具有综合运用化学专业的理论和技术手段，对新产品、新技术进行研究、开发和综合设计的能力；具有适应社会发展、终身学习能力；</w:t>
      </w:r>
    </w:p>
    <w:p w14:paraId="64822CD5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58" w:firstLineChars="200"/>
        <w:jc w:val="both"/>
        <w:textAlignment w:val="baseline"/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</w:pPr>
      <w:r>
        <w:rPr>
          <w:rFonts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目标3</w:t>
      </w:r>
      <w:r>
        <w:rPr>
          <w:rFonts w:hint="eastAsia"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（科学素养）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：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具有扎实的数学、物理等科学基础知识以及一定的经济和管理知识；</w:t>
      </w:r>
      <w:r>
        <w:rPr>
          <w:rFonts w:ascii="宋体" w:hAnsi="宋体" w:eastAsia="宋体" w:cs="宋体"/>
          <w:color w:val="auto"/>
          <w:spacing w:val="4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掌握化学学科基本理论和专业知识；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能够在化学、化工的工作实践中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体现创新意识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，遵循社会、文化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、公共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健康、安全、法律、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伦理</w:t>
      </w:r>
      <w:r>
        <w:rPr>
          <w:rFonts w:ascii="Times New Roman" w:hAnsi="Times New Roman" w:cs="Times New Roman" w:eastAsiaTheme="majorEastAsia"/>
          <w:color w:val="auto"/>
          <w:spacing w:val="-6"/>
          <w:sz w:val="24"/>
          <w:szCs w:val="24"/>
        </w:rPr>
        <w:t>、环境和可持续发展等方面的要求，保证公共健康和安全；</w:t>
      </w:r>
    </w:p>
    <w:p w14:paraId="76D97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58" w:firstLineChars="200"/>
        <w:jc w:val="both"/>
        <w:textAlignment w:val="baseline"/>
        <w:rPr>
          <w:rFonts w:ascii="宋体" w:hAnsi="宋体" w:eastAsia="宋体" w:cs="宋体"/>
          <w:color w:val="auto"/>
          <w:spacing w:val="4"/>
          <w:sz w:val="24"/>
          <w:szCs w:val="24"/>
        </w:rPr>
      </w:pPr>
      <w:r>
        <w:rPr>
          <w:rFonts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目标4</w:t>
      </w:r>
      <w:r>
        <w:rPr>
          <w:rFonts w:hint="eastAsia" w:ascii="Times New Roman" w:hAnsi="Times New Roman" w:cs="Times New Roman" w:eastAsiaTheme="majorEastAsia"/>
          <w:b/>
          <w:bCs/>
          <w:color w:val="auto"/>
          <w:spacing w:val="-6"/>
          <w:sz w:val="24"/>
          <w:szCs w:val="24"/>
        </w:rPr>
        <w:t>（发展能力）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：能够主动更新知识，具有国际视野、自我发展和终身学习的习惯与能力，能够主动适应职业环境的变化和社会发展，能够在多学科背景下的团队中发挥作用，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具有深厚的爱国主义情怀，积极投身社会主义建设事业，培养学生能够在社会中表现出良好的人文科学素养、职业修养、职业道德和社会责任感</w:t>
      </w:r>
      <w:r>
        <w:rPr>
          <w:rFonts w:hint="eastAsia" w:ascii="Times New Roman" w:hAnsi="Times New Roman" w:cs="Times New Roman" w:eastAsiaTheme="majorEastAsia"/>
          <w:color w:val="auto"/>
          <w:spacing w:val="-6"/>
          <w:sz w:val="24"/>
          <w:szCs w:val="24"/>
        </w:rPr>
        <w:t>。</w:t>
      </w:r>
    </w:p>
    <w:p w14:paraId="2CE8A2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</w:p>
    <w:p w14:paraId="3F367E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三、毕业要求</w:t>
      </w:r>
    </w:p>
    <w:p w14:paraId="16B3B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本专业学生要掌握自然科学理论知识和化学专业知识技能，系统掌握精细化学品合成的基本原理及其应用技术，具有创新意识、国际视野以及解决复杂化学问题的能力，能从事化学、化工、医药、食品、能源环保等领域的研发、生产和管理工作，本专业毕业生应满足如下在知识、能力和素质等方面的要求：</w:t>
      </w:r>
    </w:p>
    <w:p w14:paraId="5D1EC0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1.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  <w:highlight w:val="none"/>
        </w:rPr>
        <w:t>科学和工程知识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：能够将数学、自然科学、计算、工程基础和专业知识用于解决复杂科学和工程问题。</w:t>
      </w:r>
    </w:p>
    <w:p w14:paraId="727E753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2.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问题分析：能够应用数学、自然科学和工程科学的基本原理，识别、表达并通过文献研究分析复杂科学和工程问题，综合考虑可持续发展的要求，以获得有效结论。</w:t>
      </w:r>
    </w:p>
    <w:p w14:paraId="32D778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3.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设计</w:t>
      </w: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/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解决方案：</w:t>
      </w:r>
      <w:r>
        <w:rPr>
          <w:rFonts w:hint="eastAsia" w:ascii="Times New Roman" w:hAnsi="Times New Roman" w:eastAsia="宋体" w:cs="Times New Roman"/>
          <w:color w:val="auto"/>
          <w:sz w:val="24"/>
        </w:rPr>
        <w:t>能够针对复杂科学和工程问题设计和开发解决方案，设计满足特定需求的系统、单元（部件）或工艺流程，体现创新性，并从健康、安全与环境、全生命周期成本与净零碳要求、法律与伦理、社会与文化等角度考虑可行性。</w:t>
      </w:r>
    </w:p>
    <w:p w14:paraId="65A90DD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4.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研究：能够基于科学原理并采用科学方法对复杂科学和工程问题进行研究，包括设计实验、分析与解释数据、并通过信息综合得到合理有效的结论。</w:t>
      </w:r>
    </w:p>
    <w:p w14:paraId="5CBD88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5.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使用现代工具：能够针对复杂科学和工程问题，开发、选择与使用恰当的技术、资源、现代工程工具和信息技术工具，包括对复杂科学和工程问题的预测与模拟，并能够理解其局限性。</w:t>
      </w:r>
    </w:p>
    <w:p w14:paraId="18893F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jc w:val="both"/>
        <w:textAlignment w:val="baseline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6.</w:t>
      </w:r>
      <w:r>
        <w:rPr>
          <w:rFonts w:ascii="Times New Roman" w:hAnsi="Times New Roman" w:eastAsia="宋体" w:cs="Times New Roman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宋体" w:cs="Times New Roman"/>
          <w:color w:val="auto"/>
          <w:sz w:val="24"/>
        </w:rPr>
        <w:t>工程与</w:t>
      </w:r>
      <w:r>
        <w:rPr>
          <w:rFonts w:hint="eastAsia" w:ascii="Times New Roman" w:hAnsi="Times New Roman" w:eastAsia="宋体" w:cs="Times New Roman"/>
          <w:color w:val="auto"/>
          <w:sz w:val="24"/>
        </w:rPr>
        <w:t>可持续发展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：</w:t>
      </w:r>
      <w:r>
        <w:rPr>
          <w:rFonts w:hint="eastAsia" w:ascii="Times New Roman" w:hAnsi="Times New Roman" w:eastAsia="宋体" w:cs="Times New Roman"/>
          <w:color w:val="auto"/>
          <w:sz w:val="24"/>
        </w:rPr>
        <w:t>在解决复杂科学和工程问题时，能够基于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化学</w:t>
      </w:r>
      <w:r>
        <w:rPr>
          <w:rFonts w:hint="eastAsia" w:ascii="Times New Roman" w:hAnsi="Times New Roman" w:eastAsia="宋体" w:cs="Times New Roman"/>
          <w:color w:val="auto"/>
          <w:sz w:val="24"/>
        </w:rPr>
        <w:t>相关背景知识，分析和评价工程实践对健康、安全、环境、法律以及经济和社会可持续发展的影响，并理解应承担的责任。</w:t>
      </w:r>
    </w:p>
    <w:p w14:paraId="6645059E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24" w:firstLineChars="200"/>
        <w:textAlignment w:val="baseline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</w:rPr>
        <w:t>7</w:t>
      </w:r>
      <w:r>
        <w:rPr>
          <w:rFonts w:asciiTheme="majorEastAsia" w:hAnsiTheme="majorEastAsia" w:eastAsiaTheme="majorEastAsia" w:cstheme="majorEastAsia"/>
          <w:color w:val="auto"/>
          <w:spacing w:val="11"/>
          <w:sz w:val="24"/>
          <w:szCs w:val="24"/>
          <w:highlight w:val="none"/>
        </w:rPr>
        <w:t>.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  <w:highlight w:val="none"/>
          <w:lang w:val="en-US" w:eastAsia="zh-CN"/>
        </w:rPr>
        <w:t>科学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伦理</w:t>
      </w:r>
      <w:r>
        <w:rPr>
          <w:rFonts w:hint="eastAsia" w:ascii="Times New Roman" w:hAnsi="Times New Roman" w:eastAsia="宋体" w:cs="Times New Roman"/>
          <w:color w:val="auto"/>
          <w:sz w:val="24"/>
        </w:rPr>
        <w:t>和</w:t>
      </w:r>
      <w:r>
        <w:rPr>
          <w:rFonts w:ascii="Times New Roman" w:hAnsi="Times New Roman" w:eastAsia="宋体" w:cs="Times New Roman"/>
          <w:color w:val="auto"/>
          <w:sz w:val="24"/>
        </w:rPr>
        <w:t>职业规范：</w:t>
      </w:r>
      <w:r>
        <w:rPr>
          <w:rFonts w:hint="eastAsia" w:ascii="Times New Roman" w:hAnsi="Times New Roman" w:eastAsia="宋体" w:cs="Times New Roman"/>
          <w:color w:val="auto"/>
          <w:sz w:val="24"/>
        </w:rPr>
        <w:t>有科学报国、科学为民的意识，</w:t>
      </w:r>
      <w:r>
        <w:rPr>
          <w:rFonts w:ascii="Times New Roman" w:hAnsi="Times New Roman" w:eastAsia="宋体" w:cs="Times New Roman"/>
          <w:color w:val="auto"/>
          <w:sz w:val="24"/>
        </w:rPr>
        <w:t>具有人文社会科学素养、社会责任感，</w:t>
      </w:r>
      <w:r>
        <w:rPr>
          <w:rFonts w:hint="eastAsia" w:ascii="Times New Roman" w:hAnsi="Times New Roman" w:eastAsia="宋体" w:cs="Times New Roman"/>
          <w:color w:val="auto"/>
          <w:sz w:val="24"/>
        </w:rPr>
        <w:t>能够理解和应用工程伦理，</w:t>
      </w:r>
      <w:r>
        <w:rPr>
          <w:rFonts w:ascii="Times New Roman" w:hAnsi="Times New Roman" w:eastAsia="宋体" w:cs="Times New Roman"/>
          <w:color w:val="auto"/>
          <w:sz w:val="24"/>
        </w:rPr>
        <w:t>能够在化学实践中理解并遵守化学职业道德</w:t>
      </w:r>
      <w:r>
        <w:rPr>
          <w:rFonts w:hint="eastAsia" w:ascii="Times New Roman" w:hAnsi="Times New Roman" w:eastAsia="宋体" w:cs="Times New Roman"/>
          <w:color w:val="auto"/>
          <w:sz w:val="24"/>
        </w:rPr>
        <w:t>、</w:t>
      </w:r>
      <w:r>
        <w:rPr>
          <w:rFonts w:ascii="Times New Roman" w:hAnsi="Times New Roman" w:eastAsia="宋体" w:cs="Times New Roman"/>
          <w:color w:val="auto"/>
          <w:sz w:val="24"/>
        </w:rPr>
        <w:t>规范</w:t>
      </w:r>
      <w:r>
        <w:rPr>
          <w:rFonts w:hint="eastAsia" w:ascii="Times New Roman" w:hAnsi="Times New Roman" w:eastAsia="宋体" w:cs="Times New Roman"/>
          <w:color w:val="auto"/>
          <w:sz w:val="24"/>
        </w:rPr>
        <w:t>和相关法律</w:t>
      </w:r>
      <w:r>
        <w:rPr>
          <w:rFonts w:ascii="Times New Roman" w:hAnsi="Times New Roman" w:eastAsia="宋体" w:cs="Times New Roman"/>
          <w:color w:val="auto"/>
          <w:sz w:val="24"/>
        </w:rPr>
        <w:t>，履行责任。</w:t>
      </w:r>
      <w:bookmarkStart w:id="0" w:name="OLE_LINK2"/>
    </w:p>
    <w:bookmarkEnd w:id="0"/>
    <w:p w14:paraId="1E874125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80" w:firstLineChars="200"/>
        <w:textAlignment w:val="baseline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8</w:t>
      </w:r>
      <w:r>
        <w:rPr>
          <w:rFonts w:ascii="Times New Roman" w:hAnsi="Times New Roman" w:eastAsia="宋体" w:cs="Times New Roman"/>
          <w:color w:val="auto"/>
          <w:sz w:val="24"/>
        </w:rPr>
        <w:t>. 个人</w:t>
      </w:r>
      <w:r>
        <w:rPr>
          <w:rFonts w:hint="eastAsia" w:ascii="Times New Roman" w:hAnsi="Times New Roman" w:eastAsia="宋体" w:cs="Times New Roman"/>
          <w:color w:val="auto"/>
          <w:sz w:val="24"/>
        </w:rPr>
        <w:t>与</w:t>
      </w:r>
      <w:r>
        <w:rPr>
          <w:rFonts w:ascii="Times New Roman" w:hAnsi="Times New Roman" w:eastAsia="宋体" w:cs="Times New Roman"/>
          <w:color w:val="auto"/>
          <w:sz w:val="24"/>
        </w:rPr>
        <w:t>团队：能够在</w:t>
      </w:r>
      <w:r>
        <w:rPr>
          <w:rFonts w:hint="eastAsia" w:ascii="Times New Roman" w:hAnsi="Times New Roman" w:eastAsia="宋体" w:cs="Times New Roman"/>
          <w:color w:val="auto"/>
          <w:sz w:val="24"/>
        </w:rPr>
        <w:t>多样化、</w:t>
      </w:r>
      <w:r>
        <w:rPr>
          <w:rFonts w:ascii="Times New Roman" w:hAnsi="Times New Roman" w:eastAsia="宋体" w:cs="Times New Roman"/>
          <w:color w:val="auto"/>
          <w:sz w:val="24"/>
        </w:rPr>
        <w:t>多学科背景下的团队中承担个体、团队成员以及负责人的角色。</w:t>
      </w:r>
    </w:p>
    <w:p w14:paraId="09D0F60C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80" w:firstLineChars="200"/>
        <w:textAlignment w:val="baseline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9</w:t>
      </w:r>
      <w:r>
        <w:rPr>
          <w:rFonts w:ascii="Times New Roman" w:hAnsi="Times New Roman" w:eastAsia="宋体" w:cs="Times New Roman"/>
          <w:color w:val="auto"/>
          <w:sz w:val="24"/>
        </w:rPr>
        <w:t>. 沟通：能够就复杂化学问题与业界同行及社会公众进行有效沟通和交流，包括撰写报告和设计文稿、陈述发言、清晰表达或回应指令，</w:t>
      </w:r>
      <w:r>
        <w:rPr>
          <w:rFonts w:hint="eastAsia" w:ascii="Times New Roman" w:hAnsi="Times New Roman" w:eastAsia="宋体" w:cs="Times New Roman"/>
          <w:color w:val="auto"/>
          <w:sz w:val="24"/>
        </w:rPr>
        <w:t>能够在跨文化背景下进行沟通和交流，理解、尊重语言和文化差异。</w:t>
      </w:r>
    </w:p>
    <w:p w14:paraId="27F99D5B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80" w:firstLineChars="200"/>
        <w:textAlignment w:val="baseline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24"/>
        </w:rPr>
        <w:t>1</w:t>
      </w:r>
      <w:r>
        <w:rPr>
          <w:rFonts w:hint="eastAsia" w:ascii="Times New Roman" w:hAnsi="Times New Roman" w:eastAsia="宋体" w:cs="Times New Roman"/>
          <w:color w:val="auto"/>
          <w:sz w:val="24"/>
        </w:rPr>
        <w:t>0</w:t>
      </w:r>
      <w:r>
        <w:rPr>
          <w:rFonts w:ascii="Times New Roman" w:hAnsi="Times New Roman" w:eastAsia="宋体" w:cs="Times New Roman"/>
          <w:color w:val="auto"/>
          <w:sz w:val="24"/>
        </w:rPr>
        <w:t>. 项目管理：理解并掌握</w:t>
      </w:r>
      <w:r>
        <w:rPr>
          <w:rFonts w:hint="eastAsia" w:asciiTheme="majorEastAsia" w:hAnsiTheme="majorEastAsia" w:eastAsiaTheme="majorEastAsia" w:cstheme="majorEastAsia"/>
          <w:color w:val="auto"/>
          <w:spacing w:val="11"/>
          <w:sz w:val="24"/>
          <w:szCs w:val="24"/>
        </w:rPr>
        <w:t>化学化工</w:t>
      </w:r>
      <w:r>
        <w:rPr>
          <w:rFonts w:hint="eastAsia" w:ascii="Times New Roman" w:hAnsi="Times New Roman" w:eastAsia="宋体" w:cs="Times New Roman"/>
          <w:color w:val="auto"/>
          <w:sz w:val="24"/>
        </w:rPr>
        <w:t>领域项目相关的</w:t>
      </w:r>
      <w:r>
        <w:rPr>
          <w:rFonts w:ascii="Times New Roman" w:hAnsi="Times New Roman" w:eastAsia="宋体" w:cs="Times New Roman"/>
          <w:color w:val="auto"/>
          <w:sz w:val="24"/>
        </w:rPr>
        <w:t>管理原理与经济决策方法，</w:t>
      </w:r>
      <w:r>
        <w:rPr>
          <w:rFonts w:hint="eastAsia" w:ascii="Times New Roman" w:hAnsi="Times New Roman" w:eastAsia="宋体" w:cs="Times New Roman"/>
          <w:color w:val="auto"/>
          <w:sz w:val="24"/>
        </w:rPr>
        <w:t>并能够在多学科环境中应用。</w:t>
      </w:r>
    </w:p>
    <w:p w14:paraId="0712F838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80" w:firstLineChars="200"/>
        <w:textAlignment w:val="baseline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ascii="Times New Roman" w:hAnsi="Times New Roman" w:eastAsia="宋体" w:cs="Times New Roman"/>
          <w:color w:val="auto"/>
          <w:sz w:val="24"/>
        </w:rPr>
        <w:t>1</w:t>
      </w:r>
      <w:r>
        <w:rPr>
          <w:rFonts w:hint="eastAsia" w:ascii="Times New Roman" w:hAnsi="Times New Roman" w:eastAsia="宋体" w:cs="Times New Roman"/>
          <w:color w:val="auto"/>
          <w:sz w:val="24"/>
        </w:rPr>
        <w:t>1</w:t>
      </w:r>
      <w:r>
        <w:rPr>
          <w:rFonts w:ascii="Times New Roman" w:hAnsi="Times New Roman" w:eastAsia="宋体" w:cs="Times New Roman"/>
          <w:color w:val="auto"/>
          <w:sz w:val="24"/>
        </w:rPr>
        <w:t>. 终身学习：具有自主学习</w:t>
      </w:r>
      <w:r>
        <w:rPr>
          <w:rFonts w:hint="eastAsia" w:ascii="Times New Roman" w:hAnsi="Times New Roman" w:eastAsia="宋体" w:cs="Times New Roman"/>
          <w:color w:val="auto"/>
          <w:sz w:val="24"/>
        </w:rPr>
        <w:t>、</w:t>
      </w:r>
      <w:r>
        <w:rPr>
          <w:rFonts w:ascii="Times New Roman" w:hAnsi="Times New Roman" w:eastAsia="宋体" w:cs="Times New Roman"/>
          <w:color w:val="auto"/>
          <w:sz w:val="24"/>
        </w:rPr>
        <w:t>终身学习</w:t>
      </w:r>
      <w:r>
        <w:rPr>
          <w:rFonts w:hint="eastAsia" w:ascii="Times New Roman" w:hAnsi="Times New Roman" w:eastAsia="宋体" w:cs="Times New Roman"/>
          <w:color w:val="auto"/>
          <w:sz w:val="24"/>
        </w:rPr>
        <w:t>和批判性思维</w:t>
      </w:r>
      <w:r>
        <w:rPr>
          <w:rFonts w:ascii="Times New Roman" w:hAnsi="Times New Roman" w:eastAsia="宋体" w:cs="Times New Roman"/>
          <w:color w:val="auto"/>
          <w:sz w:val="24"/>
        </w:rPr>
        <w:t>的意识</w:t>
      </w:r>
      <w:r>
        <w:rPr>
          <w:rFonts w:hint="eastAsia" w:ascii="Times New Roman" w:hAnsi="Times New Roman" w:eastAsia="宋体" w:cs="Times New Roman"/>
          <w:color w:val="auto"/>
          <w:sz w:val="24"/>
        </w:rPr>
        <w:t>和能力，能够理解广泛的技术变革对工程和社会的影响，适应新技术变革</w:t>
      </w:r>
      <w:r>
        <w:rPr>
          <w:rFonts w:ascii="Times New Roman" w:hAnsi="Times New Roman" w:eastAsia="宋体" w:cs="Times New Roman"/>
          <w:color w:val="auto"/>
          <w:sz w:val="24"/>
        </w:rPr>
        <w:t>。</w:t>
      </w:r>
    </w:p>
    <w:p w14:paraId="60EB07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</w:p>
    <w:p w14:paraId="75089A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jc w:val="both"/>
        <w:textAlignment w:val="baseline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四、毕业要求对培养目标的支撑</w:t>
      </w:r>
    </w:p>
    <w:p w14:paraId="032D542E">
      <w:pPr>
        <w:keepNext w:val="0"/>
        <w:keepLines w:val="0"/>
        <w:pageBreakBefore w:val="0"/>
        <w:widowControl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480" w:firstLineChars="200"/>
        <w:textAlignment w:val="baseline"/>
        <w:rPr>
          <w:rFonts w:ascii="Times New Roman" w:hAnsi="Times New Roman" w:eastAsia="宋体"/>
          <w:color w:val="auto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z w:val="24"/>
          <w:szCs w:val="24"/>
        </w:rPr>
        <w:t>为保证本专业学生满足知识、能力和素质的达成，本专业设置了完善的课程体系，其中包括理论教学、实验实践教学、实习教学、课程设计、毕业设计</w:t>
      </w:r>
      <w:r>
        <w:rPr>
          <w:rFonts w:ascii="宋体" w:hAnsi="宋体" w:eastAsia="宋体" w:cs="宋体"/>
          <w:color w:val="auto"/>
          <w:sz w:val="24"/>
          <w:szCs w:val="24"/>
        </w:rPr>
        <w:t>/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论文、学科竞赛、创新创业训练项目等教学环节。</w:t>
      </w:r>
      <w:r>
        <w:rPr>
          <w:rFonts w:ascii="Times New Roman" w:hAnsi="Times New Roman" w:eastAsia="宋体"/>
          <w:color w:val="auto"/>
          <w:sz w:val="24"/>
          <w:szCs w:val="24"/>
        </w:rPr>
        <w:t>本专业毕业要求对培养目标的支撑关系见</w:t>
      </w:r>
      <w:r>
        <w:rPr>
          <w:rFonts w:hint="eastAsia" w:ascii="Times New Roman" w:hAnsi="Times New Roman" w:eastAsia="宋体"/>
          <w:color w:val="auto"/>
          <w:sz w:val="24"/>
          <w:szCs w:val="24"/>
        </w:rPr>
        <w:t>下</w:t>
      </w:r>
      <w:r>
        <w:rPr>
          <w:rFonts w:ascii="Times New Roman" w:hAnsi="Times New Roman" w:eastAsia="宋体"/>
          <w:color w:val="auto"/>
          <w:sz w:val="24"/>
          <w:szCs w:val="24"/>
        </w:rPr>
        <w:t>表。</w:t>
      </w:r>
    </w:p>
    <w:p w14:paraId="506E872B">
      <w:pPr>
        <w:spacing w:line="560" w:lineRule="exact"/>
        <w:ind w:firstLine="578" w:firstLineChars="200"/>
        <w:rPr>
          <w:rFonts w:ascii="黑体" w:hAnsi="黑体" w:eastAsia="黑体" w:cs="黑体"/>
          <w:b/>
          <w:bCs/>
          <w:color w:val="auto"/>
          <w:spacing w:val="4"/>
          <w:sz w:val="28"/>
          <w:szCs w:val="28"/>
        </w:rPr>
      </w:pPr>
    </w:p>
    <w:p w14:paraId="2D5DA311">
      <w:pPr>
        <w:spacing w:line="360" w:lineRule="auto"/>
        <w:ind w:firstLine="420"/>
        <w:jc w:val="center"/>
        <w:rPr>
          <w:rFonts w:ascii="Times New Roman" w:hAnsi="Times New Roman" w:eastAsia="宋体"/>
          <w:color w:val="auto"/>
        </w:rPr>
      </w:pPr>
      <w:r>
        <w:rPr>
          <w:rFonts w:hint="eastAsia" w:ascii="Times New Roman" w:hAnsi="Times New Roman" w:eastAsia="宋体"/>
          <w:color w:val="auto"/>
        </w:rPr>
        <w:t>毕业要求对培养目标的支撑表</w:t>
      </w:r>
    </w:p>
    <w:tbl>
      <w:tblPr>
        <w:tblStyle w:val="7"/>
        <w:tblW w:w="8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38"/>
        <w:gridCol w:w="1595"/>
        <w:gridCol w:w="1595"/>
        <w:gridCol w:w="1595"/>
        <w:gridCol w:w="1595"/>
      </w:tblGrid>
      <w:tr w14:paraId="660FF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203D7774">
            <w:pPr>
              <w:spacing w:line="360" w:lineRule="auto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34C5007F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培</w:t>
            </w:r>
            <w:r>
              <w:rPr>
                <w:rFonts w:ascii="Times New Roman" w:hAnsi="Times New Roman" w:cs="Times New Roman"/>
                <w:color w:val="auto"/>
              </w:rPr>
              <w:t>养目标1</w:t>
            </w:r>
          </w:p>
        </w:tc>
        <w:tc>
          <w:tcPr>
            <w:tcW w:w="0" w:type="auto"/>
            <w:vAlign w:val="center"/>
          </w:tcPr>
          <w:p w14:paraId="22F43D64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培</w:t>
            </w:r>
            <w:r>
              <w:rPr>
                <w:rFonts w:ascii="Times New Roman" w:hAnsi="Times New Roman" w:cs="Times New Roman"/>
                <w:color w:val="auto"/>
              </w:rPr>
              <w:t>养目标2</w:t>
            </w:r>
          </w:p>
        </w:tc>
        <w:tc>
          <w:tcPr>
            <w:tcW w:w="0" w:type="auto"/>
            <w:vAlign w:val="center"/>
          </w:tcPr>
          <w:p w14:paraId="174A3533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培</w:t>
            </w:r>
            <w:r>
              <w:rPr>
                <w:rFonts w:ascii="Times New Roman" w:hAnsi="Times New Roman" w:cs="Times New Roman"/>
                <w:color w:val="auto"/>
              </w:rPr>
              <w:t>养目标3</w:t>
            </w:r>
          </w:p>
        </w:tc>
        <w:tc>
          <w:tcPr>
            <w:tcW w:w="0" w:type="auto"/>
            <w:vAlign w:val="center"/>
          </w:tcPr>
          <w:p w14:paraId="1688F01E">
            <w:pPr>
              <w:spacing w:line="360" w:lineRule="auto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培</w:t>
            </w:r>
            <w:r>
              <w:rPr>
                <w:rFonts w:ascii="Times New Roman" w:hAnsi="Times New Roman" w:cs="Times New Roman"/>
                <w:color w:val="auto"/>
              </w:rPr>
              <w:t>养目标4</w:t>
            </w:r>
          </w:p>
        </w:tc>
      </w:tr>
      <w:tr w14:paraId="708BC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3354256B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业要求1</w:t>
            </w:r>
          </w:p>
        </w:tc>
        <w:tc>
          <w:tcPr>
            <w:tcW w:w="0" w:type="auto"/>
            <w:vAlign w:val="center"/>
          </w:tcPr>
          <w:p w14:paraId="30ACF859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0EAC75B9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1060873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7F9E3B70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25E379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6B38FB3E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业要求2</w:t>
            </w:r>
          </w:p>
        </w:tc>
        <w:tc>
          <w:tcPr>
            <w:tcW w:w="0" w:type="auto"/>
            <w:vAlign w:val="center"/>
          </w:tcPr>
          <w:p w14:paraId="19C6AE1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11E5EAF0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6D1E8F4B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0391282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3B0262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0" w:type="auto"/>
            <w:vAlign w:val="center"/>
          </w:tcPr>
          <w:p w14:paraId="59D702E1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业要求3</w:t>
            </w:r>
          </w:p>
        </w:tc>
        <w:tc>
          <w:tcPr>
            <w:tcW w:w="0" w:type="auto"/>
            <w:vAlign w:val="center"/>
          </w:tcPr>
          <w:p w14:paraId="35496DCB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FA8509E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867A0F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4486303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07F971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1D11263B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业要求4</w:t>
            </w:r>
          </w:p>
        </w:tc>
        <w:tc>
          <w:tcPr>
            <w:tcW w:w="0" w:type="auto"/>
            <w:vAlign w:val="center"/>
          </w:tcPr>
          <w:p w14:paraId="2419F9B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2D66554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5A2FEF8D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1AF44422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B7C72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50843F4C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业要求5</w:t>
            </w:r>
          </w:p>
        </w:tc>
        <w:tc>
          <w:tcPr>
            <w:tcW w:w="0" w:type="auto"/>
            <w:vAlign w:val="center"/>
          </w:tcPr>
          <w:p w14:paraId="2E70222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4E3341C4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5D5C92D9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4DF12C20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2249F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36DA8B78">
            <w:pPr>
              <w:spacing w:line="320" w:lineRule="exact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业要求6</w:t>
            </w:r>
          </w:p>
        </w:tc>
        <w:tc>
          <w:tcPr>
            <w:tcW w:w="0" w:type="auto"/>
            <w:vAlign w:val="center"/>
          </w:tcPr>
          <w:p w14:paraId="636E826A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2449292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374C4693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6260D86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A7A09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0C7FAE8B">
            <w:pPr>
              <w:spacing w:line="320" w:lineRule="exact"/>
              <w:jc w:val="center"/>
              <w:rPr>
                <w:rFonts w:ascii="Times New Roman" w:hAnsi="Times New Roman" w:cs="Times New Roman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</w:t>
            </w:r>
            <w:r>
              <w:rPr>
                <w:rFonts w:hint="eastAsia" w:ascii="Times New Roman" w:hAnsi="Times New Roman" w:cs="Times New Roman" w:eastAsiaTheme="minorEastAsia"/>
                <w:color w:val="auto"/>
              </w:rPr>
              <w:t>7</w:t>
            </w:r>
          </w:p>
        </w:tc>
        <w:tc>
          <w:tcPr>
            <w:tcW w:w="0" w:type="auto"/>
            <w:vAlign w:val="center"/>
          </w:tcPr>
          <w:p w14:paraId="414125CC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7DAF455A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93A8B35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62350B6B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5D0056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2C631B66">
            <w:pPr>
              <w:spacing w:line="320" w:lineRule="exact"/>
              <w:jc w:val="center"/>
              <w:rPr>
                <w:rFonts w:ascii="Times New Roman" w:hAnsi="Times New Roman" w:cs="Times New Roman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</w:t>
            </w:r>
            <w:r>
              <w:rPr>
                <w:rFonts w:hint="eastAsia" w:ascii="Times New Roman" w:hAnsi="Times New Roman" w:cs="Times New Roman" w:eastAsiaTheme="minorEastAsia"/>
                <w:color w:val="auto"/>
              </w:rPr>
              <w:t>8</w:t>
            </w:r>
          </w:p>
        </w:tc>
        <w:tc>
          <w:tcPr>
            <w:tcW w:w="0" w:type="auto"/>
            <w:vAlign w:val="center"/>
          </w:tcPr>
          <w:p w14:paraId="4863203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23A57029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64736E7E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34D43DBD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</w:tr>
      <w:tr w14:paraId="4675BE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45B69433">
            <w:pPr>
              <w:spacing w:line="320" w:lineRule="exact"/>
              <w:jc w:val="center"/>
              <w:rPr>
                <w:rFonts w:ascii="Times New Roman" w:hAnsi="Times New Roman" w:cs="Times New Roman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</w:t>
            </w:r>
            <w:r>
              <w:rPr>
                <w:rFonts w:hint="eastAsia" w:ascii="Times New Roman" w:hAnsi="Times New Roman" w:cs="Times New Roman" w:eastAsiaTheme="minorEastAsia"/>
                <w:color w:val="auto"/>
              </w:rPr>
              <w:t>9</w:t>
            </w:r>
          </w:p>
        </w:tc>
        <w:tc>
          <w:tcPr>
            <w:tcW w:w="0" w:type="auto"/>
            <w:vAlign w:val="center"/>
          </w:tcPr>
          <w:p w14:paraId="28184555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543078E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2DEF73A1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0046D5D3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</w:tr>
      <w:tr w14:paraId="26A44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0" w:type="auto"/>
            <w:vAlign w:val="center"/>
          </w:tcPr>
          <w:p w14:paraId="5817E980">
            <w:pPr>
              <w:spacing w:line="320" w:lineRule="exact"/>
              <w:jc w:val="center"/>
              <w:rPr>
                <w:rFonts w:ascii="Times New Roman" w:hAnsi="Times New Roman" w:cs="Times New Roman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业要求1</w:t>
            </w:r>
            <w:r>
              <w:rPr>
                <w:rFonts w:hint="eastAsia" w:ascii="Times New Roman" w:hAnsi="Times New Roman" w:cs="Times New Roman" w:eastAsiaTheme="minorEastAsia"/>
                <w:color w:val="auto"/>
              </w:rPr>
              <w:t>0</w:t>
            </w:r>
          </w:p>
        </w:tc>
        <w:tc>
          <w:tcPr>
            <w:tcW w:w="0" w:type="auto"/>
            <w:vAlign w:val="center"/>
          </w:tcPr>
          <w:p w14:paraId="1A09E4C8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  <w:tc>
          <w:tcPr>
            <w:tcW w:w="0" w:type="auto"/>
            <w:vAlign w:val="center"/>
          </w:tcPr>
          <w:p w14:paraId="1FA8BF21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2C5265B9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6C63EBD0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</w:tr>
      <w:tr w14:paraId="7366C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  <w:jc w:val="center"/>
        </w:trPr>
        <w:tc>
          <w:tcPr>
            <w:tcW w:w="0" w:type="auto"/>
            <w:vAlign w:val="center"/>
          </w:tcPr>
          <w:p w14:paraId="39FA1D6F">
            <w:pPr>
              <w:spacing w:line="320" w:lineRule="exact"/>
              <w:jc w:val="center"/>
              <w:rPr>
                <w:rFonts w:ascii="Times New Roman" w:hAnsi="Times New Roman" w:cs="Times New Roman" w:eastAsiaTheme="minorEastAsia"/>
                <w:color w:val="auto"/>
              </w:rPr>
            </w:pPr>
            <w:r>
              <w:rPr>
                <w:rFonts w:hint="eastAsia" w:ascii="宋体" w:hAnsi="宋体" w:eastAsia="宋体" w:cs="宋体"/>
                <w:color w:val="auto"/>
              </w:rPr>
              <w:t>毕</w:t>
            </w:r>
            <w:r>
              <w:rPr>
                <w:rFonts w:ascii="Times New Roman" w:hAnsi="Times New Roman" w:cs="Times New Roman"/>
                <w:color w:val="auto"/>
              </w:rPr>
              <w:t>业要求1</w:t>
            </w:r>
            <w:r>
              <w:rPr>
                <w:rFonts w:hint="eastAsia" w:ascii="Times New Roman" w:hAnsi="Times New Roman" w:cs="Times New Roman" w:eastAsiaTheme="minorEastAsia"/>
                <w:color w:val="auto"/>
              </w:rPr>
              <w:t>1</w:t>
            </w:r>
          </w:p>
        </w:tc>
        <w:tc>
          <w:tcPr>
            <w:tcW w:w="0" w:type="auto"/>
            <w:vAlign w:val="center"/>
          </w:tcPr>
          <w:p w14:paraId="43EC9062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66BE53F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718D26D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0" w:type="auto"/>
            <w:vAlign w:val="center"/>
          </w:tcPr>
          <w:p w14:paraId="72803DF0">
            <w:pPr>
              <w:spacing w:line="320" w:lineRule="exact"/>
              <w:ind w:firstLine="420"/>
              <w:jc w:val="center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√</w:t>
            </w:r>
          </w:p>
        </w:tc>
      </w:tr>
    </w:tbl>
    <w:p w14:paraId="7054F5EA">
      <w:pPr>
        <w:kinsoku/>
        <w:spacing w:line="560" w:lineRule="exact"/>
        <w:jc w:val="both"/>
        <w:rPr>
          <w:rFonts w:ascii="黑体" w:hAnsi="黑体" w:eastAsia="黑体" w:cs="黑体"/>
          <w:b/>
          <w:bCs/>
          <w:color w:val="auto"/>
          <w:spacing w:val="4"/>
          <w:sz w:val="28"/>
          <w:szCs w:val="28"/>
        </w:rPr>
      </w:pPr>
    </w:p>
    <w:p w14:paraId="3C552B01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五、主干学科</w:t>
      </w:r>
    </w:p>
    <w:p w14:paraId="57EA01BA">
      <w:pPr>
        <w:kinsoku/>
        <w:spacing w:line="560" w:lineRule="exact"/>
        <w:ind w:firstLine="480" w:firstLineChars="200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宋体" w:hAnsi="宋体" w:eastAsia="宋体" w:cs="宋体"/>
          <w:color w:val="auto"/>
          <w:sz w:val="24"/>
        </w:rPr>
        <w:t>应用化学，化学</w:t>
      </w:r>
    </w:p>
    <w:p w14:paraId="4722FD80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</w:p>
    <w:p w14:paraId="61212656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六、毕业条件及授予学士学位条件</w:t>
      </w:r>
    </w:p>
    <w:p w14:paraId="43033381">
      <w:pPr>
        <w:keepNext w:val="0"/>
        <w:keepLines w:val="0"/>
        <w:pageBreakBefore w:val="0"/>
        <w:widowControl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480" w:lineRule="exact"/>
        <w:ind w:firstLine="544" w:firstLineChars="200"/>
        <w:jc w:val="both"/>
        <w:textAlignment w:val="baseline"/>
        <w:rPr>
          <w:rFonts w:ascii="宋体" w:hAnsi="宋体" w:eastAsia="宋体" w:cs="宋体"/>
          <w:color w:val="auto"/>
          <w:spacing w:val="3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6"/>
          <w:sz w:val="24"/>
          <w:szCs w:val="24"/>
        </w:rPr>
        <w:t>达到</w:t>
      </w:r>
      <w:r>
        <w:rPr>
          <w:rFonts w:hint="eastAsia" w:ascii="宋体" w:hAnsi="宋体" w:eastAsia="宋体" w:cs="宋体"/>
          <w:color w:val="auto"/>
          <w:spacing w:val="9"/>
          <w:sz w:val="24"/>
          <w:szCs w:val="24"/>
        </w:rPr>
        <w:t>学</w:t>
      </w:r>
      <w:r>
        <w:rPr>
          <w:rFonts w:hint="eastAsia" w:ascii="宋体" w:hAnsi="宋体" w:eastAsia="宋体" w:cs="宋体"/>
          <w:color w:val="auto"/>
          <w:spacing w:val="8"/>
          <w:sz w:val="24"/>
          <w:szCs w:val="24"/>
        </w:rPr>
        <w:t>校对本科毕业生提出的德、智、体、美、劳等方</w:t>
      </w:r>
      <w:r>
        <w:rPr>
          <w:rFonts w:hint="eastAsia" w:ascii="宋体" w:hAnsi="宋体" w:eastAsia="宋体" w:cs="宋体"/>
          <w:color w:val="auto"/>
          <w:spacing w:val="4"/>
          <w:sz w:val="24"/>
          <w:szCs w:val="24"/>
        </w:rPr>
        <w:t>面的要求，完成培养方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</w:rPr>
        <w:t>案</w:t>
      </w:r>
      <w:r>
        <w:rPr>
          <w:rFonts w:hint="eastAsia" w:ascii="宋体" w:hAnsi="宋体" w:eastAsia="宋体" w:cs="宋体"/>
          <w:color w:val="auto"/>
          <w:spacing w:val="2"/>
          <w:sz w:val="24"/>
          <w:szCs w:val="24"/>
        </w:rPr>
        <w:t>课程体系中各教学环节的学习，最</w:t>
      </w:r>
      <w:r>
        <w:rPr>
          <w:rFonts w:hint="eastAsia" w:ascii="宋体" w:hAnsi="宋体" w:eastAsia="宋体" w:cs="宋体"/>
          <w:color w:val="auto"/>
          <w:spacing w:val="26"/>
          <w:sz w:val="24"/>
          <w:szCs w:val="24"/>
        </w:rPr>
        <w:t>低</w:t>
      </w:r>
      <w:r>
        <w:rPr>
          <w:rFonts w:hint="eastAsia" w:ascii="宋体" w:hAnsi="宋体" w:eastAsia="宋体" w:cs="宋体"/>
          <w:color w:val="auto"/>
          <w:spacing w:val="19"/>
          <w:sz w:val="24"/>
          <w:szCs w:val="24"/>
        </w:rPr>
        <w:t>修满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</w:rPr>
        <w:t>15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  <w:lang w:val="en-US" w:eastAsia="zh-CN"/>
        </w:rPr>
        <w:t>0</w:t>
      </w:r>
      <w:r>
        <w:rPr>
          <w:rFonts w:hint="eastAsia" w:ascii="宋体" w:hAnsi="宋体" w:eastAsia="宋体" w:cs="宋体"/>
          <w:color w:val="auto"/>
          <w:spacing w:val="19"/>
          <w:sz w:val="24"/>
          <w:szCs w:val="24"/>
        </w:rPr>
        <w:t>学分，毕业设计(论文)答辩合格，方可准予毕</w:t>
      </w:r>
      <w:r>
        <w:rPr>
          <w:rFonts w:hint="eastAsia" w:ascii="宋体" w:hAnsi="宋体" w:eastAsia="宋体" w:cs="宋体"/>
          <w:color w:val="auto"/>
          <w:spacing w:val="7"/>
          <w:sz w:val="24"/>
          <w:szCs w:val="24"/>
        </w:rPr>
        <w:t>业。符合天津科技大学学士学位授予条件，可授予理学学士学位</w:t>
      </w:r>
      <w:r>
        <w:rPr>
          <w:rFonts w:hint="eastAsia" w:ascii="宋体" w:hAnsi="宋体" w:eastAsia="宋体" w:cs="宋体"/>
          <w:color w:val="auto"/>
          <w:spacing w:val="3"/>
          <w:sz w:val="24"/>
          <w:szCs w:val="24"/>
        </w:rPr>
        <w:t>。</w:t>
      </w:r>
    </w:p>
    <w:p w14:paraId="349D959D">
      <w:pPr>
        <w:kinsoku/>
        <w:spacing w:line="440" w:lineRule="exact"/>
        <w:ind w:firstLine="652" w:firstLineChars="200"/>
        <w:jc w:val="both"/>
        <w:rPr>
          <w:rFonts w:ascii="Times New Roman" w:hAnsi="Times New Roman" w:eastAsia="仿宋" w:cs="仿宋"/>
          <w:color w:val="auto"/>
          <w:spacing w:val="3"/>
          <w:sz w:val="32"/>
          <w:szCs w:val="28"/>
        </w:rPr>
      </w:pPr>
    </w:p>
    <w:p w14:paraId="28A8E6D5">
      <w:pPr>
        <w:kinsoku/>
        <w:spacing w:line="560" w:lineRule="exact"/>
        <w:jc w:val="center"/>
        <w:rPr>
          <w:rFonts w:hint="eastAsia" w:ascii="黑体" w:hAnsi="黑体" w:eastAsia="黑体" w:cs="黑体"/>
          <w:color w:val="auto"/>
          <w:spacing w:val="7"/>
          <w:sz w:val="24"/>
          <w:szCs w:val="22"/>
        </w:rPr>
      </w:pPr>
      <w:r>
        <w:rPr>
          <w:rFonts w:hint="eastAsia" w:ascii="黑体" w:hAnsi="黑体" w:eastAsia="黑体" w:cs="黑体"/>
          <w:color w:val="auto"/>
          <w:spacing w:val="7"/>
          <w:sz w:val="24"/>
          <w:szCs w:val="22"/>
        </w:rPr>
        <w:t>课程学时学分分配</w:t>
      </w:r>
    </w:p>
    <w:tbl>
      <w:tblPr>
        <w:tblStyle w:val="6"/>
        <w:tblpPr w:leftFromText="180" w:rightFromText="180" w:vertAnchor="text" w:tblpXSpec="center" w:tblpY="1"/>
        <w:tblOverlap w:val="never"/>
        <w:tblW w:w="4825" w:type="pct"/>
        <w:tblInd w:w="-46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8"/>
        <w:gridCol w:w="1117"/>
        <w:gridCol w:w="1283"/>
        <w:gridCol w:w="782"/>
        <w:gridCol w:w="947"/>
        <w:gridCol w:w="992"/>
        <w:gridCol w:w="1038"/>
        <w:gridCol w:w="943"/>
        <w:gridCol w:w="1034"/>
      </w:tblGrid>
      <w:tr w14:paraId="48B9FF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</w:trPr>
        <w:tc>
          <w:tcPr>
            <w:tcW w:w="1807" w:type="pct"/>
            <w:gridSpan w:val="3"/>
            <w:vMerge w:val="restart"/>
            <w:vAlign w:val="center"/>
          </w:tcPr>
          <w:p w14:paraId="160083FA">
            <w:pPr>
              <w:ind w:firstLine="422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课程类别</w:t>
            </w:r>
          </w:p>
        </w:tc>
        <w:tc>
          <w:tcPr>
            <w:tcW w:w="435" w:type="pct"/>
            <w:vMerge w:val="restart"/>
            <w:vAlign w:val="center"/>
          </w:tcPr>
          <w:p w14:paraId="4DE3EA23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学分</w:t>
            </w:r>
          </w:p>
        </w:tc>
        <w:tc>
          <w:tcPr>
            <w:tcW w:w="527" w:type="pct"/>
            <w:vMerge w:val="restart"/>
            <w:vAlign w:val="center"/>
          </w:tcPr>
          <w:p w14:paraId="2974FE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 w:eastAsiaTheme="minorEastAsia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占总学分比例（</w:t>
            </w:r>
            <w:r>
              <w:rPr>
                <w:rFonts w:hint="eastAsia" w:ascii="Times New Roman" w:hAnsi="Times New Roman" w:cs="Times New Roman"/>
                <w:b/>
                <w:bCs/>
              </w:rPr>
              <w:t>%</w:t>
            </w:r>
            <w:r>
              <w:rPr>
                <w:rFonts w:hint="eastAsia" w:ascii="宋体" w:hAnsi="宋体" w:eastAsia="宋体" w:cs="宋体"/>
                <w:b/>
                <w:bCs/>
              </w:rPr>
              <w:t>）</w:t>
            </w:r>
          </w:p>
        </w:tc>
        <w:tc>
          <w:tcPr>
            <w:tcW w:w="552" w:type="pct"/>
            <w:vMerge w:val="restart"/>
            <w:vAlign w:val="center"/>
          </w:tcPr>
          <w:p w14:paraId="2630C0A1">
            <w:pPr>
              <w:ind w:firstLine="211" w:firstLineChars="100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hint="eastAsia" w:ascii="宋体" w:hAnsi="宋体" w:eastAsia="宋体" w:cs="宋体"/>
                <w:b/>
                <w:bCs/>
              </w:rPr>
              <w:t>学时</w:t>
            </w:r>
          </w:p>
        </w:tc>
        <w:tc>
          <w:tcPr>
            <w:tcW w:w="1678" w:type="pct"/>
            <w:gridSpan w:val="3"/>
            <w:vAlign w:val="center"/>
          </w:tcPr>
          <w:p w14:paraId="05C943CC">
            <w:pPr>
              <w:ind w:firstLine="422"/>
              <w:jc w:val="center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hint="eastAsia" w:ascii="宋体" w:hAnsi="宋体" w:cs="宋体"/>
                <w:b/>
                <w:bCs/>
                <w:lang w:eastAsia="zh-CN"/>
              </w:rPr>
              <w:t>其中</w:t>
            </w:r>
            <w:r>
              <w:rPr>
                <w:rFonts w:hint="eastAsia" w:ascii="宋体" w:hAnsi="宋体" w:eastAsia="宋体" w:cs="宋体"/>
                <w:b/>
                <w:bCs/>
              </w:rPr>
              <w:t>实践教学</w:t>
            </w:r>
          </w:p>
        </w:tc>
      </w:tr>
      <w:tr w14:paraId="35227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9" w:hRule="atLeast"/>
        </w:trPr>
        <w:tc>
          <w:tcPr>
            <w:tcW w:w="1807" w:type="pct"/>
            <w:gridSpan w:val="3"/>
            <w:vMerge w:val="continue"/>
            <w:vAlign w:val="center"/>
          </w:tcPr>
          <w:p w14:paraId="3D20F621">
            <w:pPr>
              <w:ind w:firstLine="42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35" w:type="pct"/>
            <w:vMerge w:val="continue"/>
            <w:vAlign w:val="center"/>
          </w:tcPr>
          <w:p w14:paraId="0388390B">
            <w:pPr>
              <w:ind w:firstLine="42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27" w:type="pct"/>
            <w:vMerge w:val="continue"/>
            <w:vAlign w:val="center"/>
          </w:tcPr>
          <w:p w14:paraId="5DC29AC1">
            <w:pPr>
              <w:ind w:firstLine="42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52" w:type="pct"/>
            <w:vMerge w:val="continue"/>
            <w:vAlign w:val="center"/>
          </w:tcPr>
          <w:p w14:paraId="792B141E">
            <w:pPr>
              <w:ind w:firstLine="422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577" w:type="pct"/>
            <w:vAlign w:val="center"/>
          </w:tcPr>
          <w:p w14:paraId="6BFECC3E">
            <w:pPr>
              <w:spacing w:line="240" w:lineRule="exact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课程内实验</w:t>
            </w: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与其它实践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学分</w:t>
            </w:r>
          </w:p>
        </w:tc>
        <w:tc>
          <w:tcPr>
            <w:tcW w:w="535" w:type="pct"/>
            <w:vAlign w:val="center"/>
          </w:tcPr>
          <w:p w14:paraId="75A607A4">
            <w:pPr>
              <w:spacing w:line="240" w:lineRule="exact"/>
              <w:jc w:val="center"/>
              <w:rPr>
                <w:rFonts w:hint="eastAsia" w:ascii="Times New Roman" w:hAnsi="Times New Roman" w:cs="Times New Roman" w:eastAsiaTheme="minorEastAsia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18"/>
                <w:szCs w:val="18"/>
                <w:lang w:eastAsia="zh-CN"/>
              </w:rPr>
              <w:t>专业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  <w:lang w:eastAsia="zh-CN"/>
              </w:rPr>
              <w:t>性</w:t>
            </w:r>
            <w:r>
              <w:rPr>
                <w:rFonts w:hint="eastAsia" w:ascii="宋体" w:hAnsi="宋体" w:cs="宋体"/>
                <w:b/>
                <w:bCs/>
                <w:sz w:val="18"/>
                <w:szCs w:val="18"/>
              </w:rPr>
              <w:t>单独实验课程学分</w:t>
            </w:r>
          </w:p>
        </w:tc>
        <w:tc>
          <w:tcPr>
            <w:tcW w:w="565" w:type="pct"/>
            <w:vAlign w:val="center"/>
          </w:tcPr>
          <w:p w14:paraId="5CA0AA57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专业</w:t>
            </w:r>
            <w:r>
              <w:rPr>
                <w:rFonts w:hint="eastAsia" w:ascii="Times New Roman" w:hAnsi="Times New Roman" w:eastAsia="宋体"/>
                <w:b/>
                <w:bCs/>
                <w:sz w:val="18"/>
                <w:szCs w:val="18"/>
                <w:lang w:eastAsia="zh-CN"/>
              </w:rPr>
              <w:t>性实践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  <w:lang w:eastAsia="zh-CN"/>
              </w:rPr>
              <w:t>及</w:t>
            </w:r>
            <w:r>
              <w:rPr>
                <w:rFonts w:hint="eastAsia" w:ascii="Times New Roman" w:hAnsi="Times New Roman"/>
                <w:b/>
                <w:bCs/>
                <w:sz w:val="18"/>
                <w:szCs w:val="18"/>
              </w:rPr>
              <w:t>集中实践学分</w:t>
            </w:r>
          </w:p>
        </w:tc>
      </w:tr>
      <w:tr w14:paraId="64BF88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096" w:type="pct"/>
            <w:gridSpan w:val="2"/>
            <w:vMerge w:val="restart"/>
            <w:vAlign w:val="center"/>
          </w:tcPr>
          <w:p w14:paraId="446E7E8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人文社会科学类通识教育课程</w:t>
            </w:r>
          </w:p>
        </w:tc>
        <w:tc>
          <w:tcPr>
            <w:tcW w:w="711" w:type="pct"/>
            <w:vAlign w:val="center"/>
          </w:tcPr>
          <w:p w14:paraId="65D4D08A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118EF75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37</w:t>
            </w:r>
          </w:p>
        </w:tc>
        <w:tc>
          <w:tcPr>
            <w:tcW w:w="945" w:type="dxa"/>
            <w:vAlign w:val="center"/>
          </w:tcPr>
          <w:p w14:paraId="052894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</w:rPr>
              <w:t>2</w:t>
            </w: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4</w:t>
            </w:r>
            <w:r>
              <w:rPr>
                <w:rFonts w:hint="eastAsia" w:ascii="Times New Roman" w:hAnsi="Times New Roman" w:cs="Times New Roman" w:eastAsiaTheme="minorEastAsia"/>
                <w:bCs/>
                <w:color w:val="auto"/>
              </w:rPr>
              <w:t>.</w:t>
            </w: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67%</w:t>
            </w:r>
          </w:p>
        </w:tc>
        <w:tc>
          <w:tcPr>
            <w:tcW w:w="990" w:type="dxa"/>
            <w:vAlign w:val="center"/>
          </w:tcPr>
          <w:p w14:paraId="1D14D572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704+2W</w:t>
            </w:r>
          </w:p>
        </w:tc>
        <w:tc>
          <w:tcPr>
            <w:tcW w:w="1035" w:type="dxa"/>
            <w:vAlign w:val="center"/>
          </w:tcPr>
          <w:p w14:paraId="29DF30C5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11</w:t>
            </w:r>
          </w:p>
        </w:tc>
        <w:tc>
          <w:tcPr>
            <w:tcW w:w="960" w:type="dxa"/>
            <w:vAlign w:val="center"/>
          </w:tcPr>
          <w:p w14:paraId="16367C1E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</w:p>
        </w:tc>
        <w:tc>
          <w:tcPr>
            <w:tcW w:w="1013" w:type="dxa"/>
            <w:vAlign w:val="center"/>
          </w:tcPr>
          <w:p w14:paraId="499FD524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</w:t>
            </w:r>
          </w:p>
        </w:tc>
      </w:tr>
      <w:tr w14:paraId="4DA5E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1096" w:type="pct"/>
            <w:gridSpan w:val="2"/>
            <w:vMerge w:val="continue"/>
            <w:vAlign w:val="center"/>
          </w:tcPr>
          <w:p w14:paraId="07FC76B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</w:p>
        </w:tc>
        <w:tc>
          <w:tcPr>
            <w:tcW w:w="711" w:type="pct"/>
            <w:vAlign w:val="center"/>
          </w:tcPr>
          <w:p w14:paraId="3FAD412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  <w:lang w:eastAsia="zh-CN"/>
              </w:rPr>
            </w:pPr>
            <w:r>
              <w:rPr>
                <w:rFonts w:hint="eastAsia" w:ascii="宋体" w:hAnsi="宋体" w:eastAsia="宋体" w:cs="宋体"/>
                <w:bCs/>
                <w:lang w:eastAsia="zh-CN"/>
              </w:rPr>
              <w:t>个性化选修</w:t>
            </w:r>
          </w:p>
        </w:tc>
        <w:tc>
          <w:tcPr>
            <w:tcW w:w="780" w:type="dxa"/>
            <w:vAlign w:val="center"/>
          </w:tcPr>
          <w:p w14:paraId="02FF1D78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6</w:t>
            </w:r>
          </w:p>
        </w:tc>
        <w:tc>
          <w:tcPr>
            <w:tcW w:w="945" w:type="dxa"/>
            <w:vAlign w:val="center"/>
          </w:tcPr>
          <w:p w14:paraId="020F8D97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4.0%</w:t>
            </w:r>
          </w:p>
        </w:tc>
        <w:tc>
          <w:tcPr>
            <w:tcW w:w="990" w:type="dxa"/>
            <w:vAlign w:val="center"/>
          </w:tcPr>
          <w:p w14:paraId="2B09B741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96</w:t>
            </w:r>
          </w:p>
        </w:tc>
        <w:tc>
          <w:tcPr>
            <w:tcW w:w="1035" w:type="dxa"/>
            <w:vAlign w:val="center"/>
          </w:tcPr>
          <w:p w14:paraId="173990C8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3D5347BC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1013" w:type="dxa"/>
            <w:vAlign w:val="center"/>
          </w:tcPr>
          <w:p w14:paraId="63F5C7B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</w:tr>
      <w:tr w14:paraId="6A93E5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1096" w:type="pct"/>
            <w:gridSpan w:val="2"/>
            <w:vAlign w:val="center"/>
          </w:tcPr>
          <w:p w14:paraId="7FA3F8FA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数</w:t>
            </w:r>
            <w:r>
              <w:rPr>
                <w:rFonts w:hint="eastAsia" w:ascii="宋体" w:hAnsi="宋体" w:cs="宋体"/>
                <w:bCs/>
                <w:lang w:eastAsia="zh-CN"/>
              </w:rPr>
              <w:t>理化基础</w:t>
            </w:r>
            <w:r>
              <w:rPr>
                <w:rFonts w:hint="eastAsia" w:ascii="宋体" w:hAnsi="宋体" w:eastAsia="宋体" w:cs="宋体"/>
                <w:bCs/>
              </w:rPr>
              <w:t>类课程</w:t>
            </w:r>
          </w:p>
        </w:tc>
        <w:tc>
          <w:tcPr>
            <w:tcW w:w="711" w:type="pct"/>
            <w:vAlign w:val="center"/>
          </w:tcPr>
          <w:p w14:paraId="40C6D7F5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04ACCCDC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21</w:t>
            </w:r>
          </w:p>
        </w:tc>
        <w:tc>
          <w:tcPr>
            <w:tcW w:w="945" w:type="dxa"/>
            <w:vAlign w:val="center"/>
          </w:tcPr>
          <w:p w14:paraId="78A3B424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</w:rPr>
              <w:t>1</w:t>
            </w: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4%</w:t>
            </w:r>
          </w:p>
        </w:tc>
        <w:tc>
          <w:tcPr>
            <w:tcW w:w="990" w:type="dxa"/>
            <w:vAlign w:val="center"/>
          </w:tcPr>
          <w:p w14:paraId="04D66C44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 w:eastAsiaTheme="minorEastAsia"/>
                <w:bCs/>
                <w:color w:val="auto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368</w:t>
            </w:r>
          </w:p>
        </w:tc>
        <w:tc>
          <w:tcPr>
            <w:tcW w:w="1035" w:type="dxa"/>
            <w:vAlign w:val="center"/>
          </w:tcPr>
          <w:p w14:paraId="0F276B87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0B05A3A1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</w:t>
            </w:r>
          </w:p>
        </w:tc>
        <w:tc>
          <w:tcPr>
            <w:tcW w:w="1013" w:type="dxa"/>
            <w:vAlign w:val="center"/>
          </w:tcPr>
          <w:p w14:paraId="0D82D364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</w:p>
        </w:tc>
      </w:tr>
      <w:tr w14:paraId="1548F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096" w:type="pct"/>
            <w:gridSpan w:val="2"/>
            <w:vAlign w:val="center"/>
          </w:tcPr>
          <w:p w14:paraId="681A8A32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宋体" w:hAnsi="宋体" w:eastAsia="宋体" w:cs="宋体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Cs/>
                <w:lang w:val="en-US" w:eastAsia="zh-CN"/>
              </w:rPr>
              <w:t>AI类课程</w:t>
            </w:r>
          </w:p>
        </w:tc>
        <w:tc>
          <w:tcPr>
            <w:tcW w:w="711" w:type="pct"/>
            <w:vAlign w:val="center"/>
          </w:tcPr>
          <w:p w14:paraId="50C4CE4C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04B1CD8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4</w:t>
            </w:r>
          </w:p>
        </w:tc>
        <w:tc>
          <w:tcPr>
            <w:tcW w:w="945" w:type="dxa"/>
            <w:vAlign w:val="center"/>
          </w:tcPr>
          <w:p w14:paraId="226E1C1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2.67%</w:t>
            </w:r>
          </w:p>
        </w:tc>
        <w:tc>
          <w:tcPr>
            <w:tcW w:w="990" w:type="dxa"/>
            <w:vAlign w:val="center"/>
          </w:tcPr>
          <w:p w14:paraId="0434FAB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color w:val="auto"/>
                <w:lang w:val="en-US" w:eastAsia="zh-CN"/>
              </w:rPr>
              <w:t>64</w:t>
            </w:r>
          </w:p>
        </w:tc>
        <w:tc>
          <w:tcPr>
            <w:tcW w:w="1035" w:type="dxa"/>
            <w:vAlign w:val="center"/>
          </w:tcPr>
          <w:p w14:paraId="06B2BABE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1.88</w:t>
            </w:r>
          </w:p>
        </w:tc>
        <w:tc>
          <w:tcPr>
            <w:tcW w:w="960" w:type="dxa"/>
            <w:vAlign w:val="center"/>
          </w:tcPr>
          <w:p w14:paraId="710C6D2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</w:p>
        </w:tc>
        <w:tc>
          <w:tcPr>
            <w:tcW w:w="1013" w:type="dxa"/>
            <w:vAlign w:val="center"/>
          </w:tcPr>
          <w:p w14:paraId="3A7F8510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</w:tr>
      <w:tr w14:paraId="5B34E0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1096" w:type="pct"/>
            <w:gridSpan w:val="2"/>
            <w:vMerge w:val="restart"/>
            <w:vAlign w:val="center"/>
          </w:tcPr>
          <w:p w14:paraId="40B2C5A8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学科基础课程</w:t>
            </w:r>
          </w:p>
        </w:tc>
        <w:tc>
          <w:tcPr>
            <w:tcW w:w="711" w:type="pct"/>
            <w:vAlign w:val="center"/>
          </w:tcPr>
          <w:p w14:paraId="7166D5E1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7B13D872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28</w:t>
            </w:r>
          </w:p>
        </w:tc>
        <w:tc>
          <w:tcPr>
            <w:tcW w:w="945" w:type="dxa"/>
            <w:vAlign w:val="center"/>
          </w:tcPr>
          <w:p w14:paraId="452ABA42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18.67%</w:t>
            </w:r>
          </w:p>
        </w:tc>
        <w:tc>
          <w:tcPr>
            <w:tcW w:w="990" w:type="dxa"/>
            <w:vAlign w:val="center"/>
          </w:tcPr>
          <w:p w14:paraId="32D60F1A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544</w:t>
            </w:r>
          </w:p>
        </w:tc>
        <w:tc>
          <w:tcPr>
            <w:tcW w:w="1035" w:type="dxa"/>
            <w:vAlign w:val="center"/>
          </w:tcPr>
          <w:p w14:paraId="47576415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960" w:type="dxa"/>
            <w:vAlign w:val="center"/>
          </w:tcPr>
          <w:p w14:paraId="1CF48E5F">
            <w:pPr>
              <w:jc w:val="center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6</w:t>
            </w:r>
          </w:p>
        </w:tc>
        <w:tc>
          <w:tcPr>
            <w:tcW w:w="1013" w:type="dxa"/>
            <w:vAlign w:val="center"/>
          </w:tcPr>
          <w:p w14:paraId="69915B95">
            <w:pPr>
              <w:jc w:val="center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</w:p>
        </w:tc>
      </w:tr>
      <w:tr w14:paraId="6CCA9B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2" w:hRule="atLeast"/>
        </w:trPr>
        <w:tc>
          <w:tcPr>
            <w:tcW w:w="1096" w:type="pct"/>
            <w:gridSpan w:val="2"/>
            <w:vMerge w:val="continue"/>
            <w:vAlign w:val="center"/>
          </w:tcPr>
          <w:p w14:paraId="0C14636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ind w:firstLine="42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1" w:type="pct"/>
            <w:vAlign w:val="center"/>
          </w:tcPr>
          <w:p w14:paraId="61F1E572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选修</w:t>
            </w:r>
          </w:p>
        </w:tc>
        <w:tc>
          <w:tcPr>
            <w:tcW w:w="780" w:type="dxa"/>
            <w:vAlign w:val="center"/>
          </w:tcPr>
          <w:p w14:paraId="2D3A1D1A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5" w:type="dxa"/>
            <w:vAlign w:val="center"/>
          </w:tcPr>
          <w:p w14:paraId="4D04BD66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0" w:type="dxa"/>
            <w:vAlign w:val="center"/>
          </w:tcPr>
          <w:p w14:paraId="6FD0E759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35" w:type="dxa"/>
            <w:vAlign w:val="center"/>
          </w:tcPr>
          <w:p w14:paraId="0562E913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60" w:type="dxa"/>
            <w:vAlign w:val="center"/>
          </w:tcPr>
          <w:p w14:paraId="7B87C14A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3" w:type="dxa"/>
            <w:vAlign w:val="center"/>
          </w:tcPr>
          <w:p w14:paraId="4EB00767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600FFF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1096" w:type="pct"/>
            <w:gridSpan w:val="2"/>
            <w:vMerge w:val="restart"/>
            <w:vAlign w:val="center"/>
          </w:tcPr>
          <w:p w14:paraId="67F11BB8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专业教育课程</w:t>
            </w:r>
          </w:p>
        </w:tc>
        <w:tc>
          <w:tcPr>
            <w:tcW w:w="711" w:type="pct"/>
            <w:vAlign w:val="center"/>
          </w:tcPr>
          <w:p w14:paraId="47F032D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52CC64A2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12</w:t>
            </w:r>
          </w:p>
        </w:tc>
        <w:tc>
          <w:tcPr>
            <w:tcW w:w="945" w:type="dxa"/>
            <w:vAlign w:val="center"/>
          </w:tcPr>
          <w:p w14:paraId="2103DB72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8%</w:t>
            </w:r>
          </w:p>
        </w:tc>
        <w:tc>
          <w:tcPr>
            <w:tcW w:w="990" w:type="dxa"/>
            <w:vAlign w:val="center"/>
          </w:tcPr>
          <w:p w14:paraId="0841135C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200</w:t>
            </w:r>
          </w:p>
        </w:tc>
        <w:tc>
          <w:tcPr>
            <w:tcW w:w="1035" w:type="dxa"/>
            <w:vAlign w:val="center"/>
          </w:tcPr>
          <w:p w14:paraId="55AB0092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</w:p>
        </w:tc>
        <w:tc>
          <w:tcPr>
            <w:tcW w:w="960" w:type="dxa"/>
            <w:vAlign w:val="center"/>
          </w:tcPr>
          <w:p w14:paraId="3C21D4A3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</w:p>
        </w:tc>
        <w:tc>
          <w:tcPr>
            <w:tcW w:w="1013" w:type="dxa"/>
            <w:vAlign w:val="center"/>
          </w:tcPr>
          <w:p w14:paraId="3A7D9C57">
            <w:pPr>
              <w:jc w:val="center"/>
              <w:rPr>
                <w:rFonts w:hint="default" w:ascii="Times New Roman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  <w:lang w:val="en-US" w:eastAsia="zh-CN"/>
              </w:rPr>
              <w:t>0.5</w:t>
            </w:r>
          </w:p>
        </w:tc>
      </w:tr>
      <w:tr w14:paraId="25C882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96" w:type="pct"/>
            <w:gridSpan w:val="2"/>
            <w:vMerge w:val="continue"/>
            <w:vAlign w:val="center"/>
          </w:tcPr>
          <w:p w14:paraId="282AB21C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ind w:firstLine="42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1" w:type="pct"/>
            <w:vAlign w:val="center"/>
          </w:tcPr>
          <w:p w14:paraId="6853D959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选修</w:t>
            </w:r>
          </w:p>
        </w:tc>
        <w:tc>
          <w:tcPr>
            <w:tcW w:w="780" w:type="dxa"/>
            <w:vAlign w:val="center"/>
          </w:tcPr>
          <w:p w14:paraId="46808225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18</w:t>
            </w:r>
          </w:p>
        </w:tc>
        <w:tc>
          <w:tcPr>
            <w:tcW w:w="945" w:type="dxa"/>
            <w:vAlign w:val="center"/>
          </w:tcPr>
          <w:p w14:paraId="283907C0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12%</w:t>
            </w:r>
          </w:p>
        </w:tc>
        <w:tc>
          <w:tcPr>
            <w:tcW w:w="990" w:type="dxa"/>
            <w:vAlign w:val="center"/>
          </w:tcPr>
          <w:p w14:paraId="13E3AC7F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288</w:t>
            </w:r>
          </w:p>
        </w:tc>
        <w:tc>
          <w:tcPr>
            <w:tcW w:w="1035" w:type="dxa"/>
            <w:vAlign w:val="center"/>
          </w:tcPr>
          <w:p w14:paraId="47E369D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 w:eastAsiaTheme="minorEastAsia"/>
                <w:bCs/>
              </w:rPr>
            </w:pPr>
          </w:p>
        </w:tc>
        <w:tc>
          <w:tcPr>
            <w:tcW w:w="960" w:type="dxa"/>
            <w:vAlign w:val="center"/>
          </w:tcPr>
          <w:p w14:paraId="14A27A80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</w:p>
        </w:tc>
        <w:tc>
          <w:tcPr>
            <w:tcW w:w="1013" w:type="dxa"/>
            <w:vAlign w:val="center"/>
          </w:tcPr>
          <w:p w14:paraId="75B38697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3334DD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473" w:type="pct"/>
            <w:vMerge w:val="restart"/>
            <w:vAlign w:val="center"/>
          </w:tcPr>
          <w:p w14:paraId="204ABEF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</w:rPr>
            </w:pPr>
            <w:r>
              <w:rPr>
                <w:rFonts w:hint="eastAsia" w:ascii="Times New Roman" w:hAnsi="Times New Roman" w:cs="Times New Roman"/>
                <w:bCs/>
                <w:lang w:eastAsia="zh-CN"/>
              </w:rPr>
              <w:t>专业</w:t>
            </w:r>
            <w:r>
              <w:rPr>
                <w:rFonts w:hint="eastAsia" w:ascii="Times New Roman" w:hAnsi="Times New Roman" w:eastAsia="宋体" w:cs="Times New Roman"/>
                <w:bCs/>
              </w:rPr>
              <w:t>实践教学</w:t>
            </w:r>
          </w:p>
          <w:p w14:paraId="2DC992F6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lang w:eastAsia="zh-CN"/>
              </w:rPr>
              <w:t>课程</w:t>
            </w:r>
          </w:p>
        </w:tc>
        <w:tc>
          <w:tcPr>
            <w:tcW w:w="623" w:type="pct"/>
            <w:vMerge w:val="restart"/>
            <w:vAlign w:val="center"/>
          </w:tcPr>
          <w:p w14:paraId="399BA78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lang w:eastAsia="zh-CN"/>
              </w:rPr>
            </w:pPr>
            <w:r>
              <w:rPr>
                <w:rFonts w:hint="eastAsia" w:ascii="Times New Roman" w:hAnsi="Times New Roman" w:cs="Times New Roman"/>
                <w:bCs/>
                <w:lang w:eastAsia="zh-CN"/>
              </w:rPr>
              <w:t>专业单独实验类</w:t>
            </w:r>
          </w:p>
        </w:tc>
        <w:tc>
          <w:tcPr>
            <w:tcW w:w="711" w:type="pct"/>
            <w:vAlign w:val="center"/>
          </w:tcPr>
          <w:p w14:paraId="1DC8F628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6633F003">
            <w:pPr>
              <w:ind w:firstLine="210" w:firstLineChars="100"/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45" w:type="dxa"/>
            <w:vAlign w:val="center"/>
          </w:tcPr>
          <w:p w14:paraId="4C3B8D63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90" w:type="dxa"/>
            <w:vAlign w:val="center"/>
          </w:tcPr>
          <w:p w14:paraId="5282FD8A">
            <w:pPr>
              <w:ind w:firstLine="210" w:firstLineChars="100"/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7FCF7B3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60" w:type="dxa"/>
            <w:vAlign w:val="center"/>
          </w:tcPr>
          <w:p w14:paraId="6FF93C6E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1013" w:type="dxa"/>
            <w:vAlign w:val="center"/>
          </w:tcPr>
          <w:p w14:paraId="070494F5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</w:tr>
      <w:tr w14:paraId="52D42B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73" w:type="pct"/>
            <w:vMerge w:val="continue"/>
            <w:vAlign w:val="center"/>
          </w:tcPr>
          <w:p w14:paraId="24E7DF0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</w:rPr>
            </w:pPr>
          </w:p>
        </w:tc>
        <w:tc>
          <w:tcPr>
            <w:tcW w:w="623" w:type="pct"/>
            <w:vMerge w:val="continue"/>
            <w:vAlign w:val="center"/>
          </w:tcPr>
          <w:p w14:paraId="20A023CF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/>
                <w:bCs/>
                <w:lang w:eastAsia="zh-CN"/>
              </w:rPr>
            </w:pPr>
          </w:p>
        </w:tc>
        <w:tc>
          <w:tcPr>
            <w:tcW w:w="711" w:type="pct"/>
            <w:vAlign w:val="center"/>
          </w:tcPr>
          <w:p w14:paraId="604C787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宋体" w:hAnsi="宋体" w:eastAsia="宋体" w:cs="宋体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选修</w:t>
            </w:r>
          </w:p>
        </w:tc>
        <w:tc>
          <w:tcPr>
            <w:tcW w:w="780" w:type="dxa"/>
            <w:vAlign w:val="center"/>
          </w:tcPr>
          <w:p w14:paraId="61CE66B3">
            <w:pPr>
              <w:ind w:firstLine="210" w:firstLineChars="100"/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45" w:type="dxa"/>
            <w:vAlign w:val="center"/>
          </w:tcPr>
          <w:p w14:paraId="62F34DFE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90" w:type="dxa"/>
            <w:vAlign w:val="center"/>
          </w:tcPr>
          <w:p w14:paraId="4EBF1B61">
            <w:pPr>
              <w:ind w:firstLine="210" w:firstLineChars="100"/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</w:p>
        </w:tc>
        <w:tc>
          <w:tcPr>
            <w:tcW w:w="1035" w:type="dxa"/>
            <w:vAlign w:val="center"/>
          </w:tcPr>
          <w:p w14:paraId="339E3A6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60" w:type="dxa"/>
            <w:vAlign w:val="center"/>
          </w:tcPr>
          <w:p w14:paraId="3506623A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1013" w:type="dxa"/>
            <w:vAlign w:val="center"/>
          </w:tcPr>
          <w:p w14:paraId="48B5B316">
            <w:pPr>
              <w:jc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</w:tr>
      <w:tr w14:paraId="502B0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473" w:type="pct"/>
            <w:vMerge w:val="continue"/>
            <w:vAlign w:val="center"/>
          </w:tcPr>
          <w:p w14:paraId="114ACDCB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textAlignment w:val="auto"/>
              <w:rPr>
                <w:rFonts w:ascii="Times New Roman" w:hAnsi="Times New Roman" w:eastAsia="宋体" w:cs="Times New Roman"/>
                <w:bCs/>
              </w:rPr>
            </w:pPr>
          </w:p>
        </w:tc>
        <w:tc>
          <w:tcPr>
            <w:tcW w:w="623" w:type="pct"/>
            <w:vMerge w:val="restart"/>
            <w:vAlign w:val="center"/>
          </w:tcPr>
          <w:p w14:paraId="51EFC514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bCs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bCs/>
              </w:rPr>
              <w:t>专业</w:t>
            </w:r>
            <w:r>
              <w:rPr>
                <w:rFonts w:hint="eastAsia" w:ascii="宋体" w:hAnsi="宋体" w:eastAsia="宋体" w:cs="宋体"/>
                <w:bCs/>
              </w:rPr>
              <w:t>集中实践</w:t>
            </w:r>
            <w:r>
              <w:rPr>
                <w:rFonts w:hint="eastAsia" w:ascii="宋体" w:hAnsi="宋体" w:cs="宋体"/>
                <w:bCs/>
                <w:lang w:eastAsia="zh-CN"/>
              </w:rPr>
              <w:t>类</w:t>
            </w:r>
          </w:p>
        </w:tc>
        <w:tc>
          <w:tcPr>
            <w:tcW w:w="711" w:type="pct"/>
            <w:vAlign w:val="center"/>
          </w:tcPr>
          <w:p w14:paraId="39ECA1A7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必修</w:t>
            </w:r>
          </w:p>
        </w:tc>
        <w:tc>
          <w:tcPr>
            <w:tcW w:w="780" w:type="dxa"/>
            <w:vAlign w:val="center"/>
          </w:tcPr>
          <w:p w14:paraId="23463304">
            <w:pPr>
              <w:jc w:val="center"/>
              <w:rPr>
                <w:rFonts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24</w:t>
            </w:r>
          </w:p>
        </w:tc>
        <w:tc>
          <w:tcPr>
            <w:tcW w:w="945" w:type="dxa"/>
            <w:vAlign w:val="center"/>
          </w:tcPr>
          <w:p w14:paraId="202EA789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16%</w:t>
            </w:r>
          </w:p>
        </w:tc>
        <w:tc>
          <w:tcPr>
            <w:tcW w:w="990" w:type="dxa"/>
            <w:vAlign w:val="center"/>
          </w:tcPr>
          <w:p w14:paraId="0ECCA951">
            <w:pPr>
              <w:jc w:val="center"/>
              <w:rPr>
                <w:rFonts w:hint="default" w:ascii="Times New Roman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32W</w:t>
            </w:r>
          </w:p>
        </w:tc>
        <w:tc>
          <w:tcPr>
            <w:tcW w:w="1035" w:type="dxa"/>
            <w:vAlign w:val="center"/>
          </w:tcPr>
          <w:p w14:paraId="7E6F7E4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0</w:t>
            </w:r>
          </w:p>
        </w:tc>
        <w:tc>
          <w:tcPr>
            <w:tcW w:w="960" w:type="dxa"/>
            <w:vAlign w:val="center"/>
          </w:tcPr>
          <w:p w14:paraId="20A94AE4">
            <w:pPr>
              <w:jc w:val="center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0</w:t>
            </w:r>
          </w:p>
        </w:tc>
        <w:tc>
          <w:tcPr>
            <w:tcW w:w="1013" w:type="dxa"/>
            <w:vAlign w:val="center"/>
          </w:tcPr>
          <w:p w14:paraId="2BC16D44">
            <w:pPr>
              <w:jc w:val="center"/>
              <w:rPr>
                <w:rFonts w:hint="default" w:ascii="Times New Roman" w:hAnsi="Times New Roman" w:eastAsia="宋体" w:cs="Times New Roman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Cs/>
                <w:lang w:val="en-US" w:eastAsia="zh-CN"/>
              </w:rPr>
              <w:t>24</w:t>
            </w:r>
          </w:p>
        </w:tc>
      </w:tr>
      <w:tr w14:paraId="31696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" w:hRule="atLeast"/>
        </w:trPr>
        <w:tc>
          <w:tcPr>
            <w:tcW w:w="473" w:type="pct"/>
            <w:vMerge w:val="continue"/>
            <w:vAlign w:val="center"/>
          </w:tcPr>
          <w:p w14:paraId="59614966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ind w:firstLine="42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23" w:type="pct"/>
            <w:vMerge w:val="continue"/>
            <w:vAlign w:val="center"/>
          </w:tcPr>
          <w:p w14:paraId="4ED9F0EE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ind w:firstLine="420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11" w:type="pct"/>
            <w:vAlign w:val="center"/>
          </w:tcPr>
          <w:p w14:paraId="5AA926BD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eastAsia="宋体" w:cs="宋体"/>
                <w:bCs/>
              </w:rPr>
              <w:t>选修</w:t>
            </w:r>
          </w:p>
        </w:tc>
        <w:tc>
          <w:tcPr>
            <w:tcW w:w="780" w:type="dxa"/>
            <w:vAlign w:val="center"/>
          </w:tcPr>
          <w:p w14:paraId="4ABE08AE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45" w:type="dxa"/>
            <w:vAlign w:val="center"/>
          </w:tcPr>
          <w:p w14:paraId="5D5AA506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90" w:type="dxa"/>
            <w:vAlign w:val="center"/>
          </w:tcPr>
          <w:p w14:paraId="5BC1C832">
            <w:pPr>
              <w:ind w:firstLine="420" w:firstLineChars="0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35" w:type="dxa"/>
            <w:vAlign w:val="center"/>
          </w:tcPr>
          <w:p w14:paraId="5E8DF5BE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960" w:type="dxa"/>
            <w:vAlign w:val="center"/>
          </w:tcPr>
          <w:p w14:paraId="312A95E6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013" w:type="dxa"/>
            <w:vAlign w:val="center"/>
          </w:tcPr>
          <w:p w14:paraId="616D4E05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</w:tr>
      <w:tr w14:paraId="135F74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9" w:hRule="atLeast"/>
        </w:trPr>
        <w:tc>
          <w:tcPr>
            <w:tcW w:w="1807" w:type="pct"/>
            <w:gridSpan w:val="3"/>
            <w:vAlign w:val="center"/>
          </w:tcPr>
          <w:p w14:paraId="173F282A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ascii="Times New Roman" w:hAnsi="Times New Roman" w:cs="Times New Roman"/>
                <w:bCs/>
              </w:rPr>
            </w:pPr>
            <w:r>
              <w:rPr>
                <w:rFonts w:hint="eastAsia" w:ascii="宋体" w:hAnsi="宋体" w:cs="宋体"/>
                <w:b/>
                <w:bCs w:val="0"/>
                <w:lang w:eastAsia="zh-CN"/>
              </w:rPr>
              <w:t>合</w:t>
            </w:r>
            <w:r>
              <w:rPr>
                <w:rFonts w:hint="eastAsia" w:ascii="宋体" w:hAnsi="宋体" w:eastAsia="宋体" w:cs="宋体"/>
                <w:b/>
                <w:bCs w:val="0"/>
              </w:rPr>
              <w:t>计</w:t>
            </w:r>
          </w:p>
        </w:tc>
        <w:tc>
          <w:tcPr>
            <w:tcW w:w="780" w:type="dxa"/>
            <w:vAlign w:val="center"/>
          </w:tcPr>
          <w:p w14:paraId="3621A8B4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</w:rPr>
              <w:t>15</w:t>
            </w: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0</w:t>
            </w:r>
          </w:p>
        </w:tc>
        <w:tc>
          <w:tcPr>
            <w:tcW w:w="945" w:type="dxa"/>
            <w:vAlign w:val="center"/>
          </w:tcPr>
          <w:p w14:paraId="2A87CB10">
            <w:pPr>
              <w:jc w:val="center"/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</w:rPr>
              <w:t>100</w:t>
            </w: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%</w:t>
            </w:r>
          </w:p>
        </w:tc>
        <w:tc>
          <w:tcPr>
            <w:tcW w:w="990" w:type="dxa"/>
            <w:vAlign w:val="center"/>
          </w:tcPr>
          <w:p w14:paraId="7D04A4FC">
            <w:pPr>
              <w:jc w:val="center"/>
              <w:rPr>
                <w:rFonts w:hint="default" w:ascii="Times New Roman" w:hAnsi="Times New Roman" w:cs="Times New Roman" w:eastAsiaTheme="minorEastAsia"/>
                <w:bCs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</w:rPr>
              <w:t>2</w:t>
            </w: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264+34W</w:t>
            </w:r>
          </w:p>
        </w:tc>
        <w:tc>
          <w:tcPr>
            <w:tcW w:w="1035" w:type="dxa"/>
            <w:vAlign w:val="center"/>
          </w:tcPr>
          <w:p w14:paraId="7780CF79">
            <w:pPr>
              <w:widowControl w:val="0"/>
              <w:kinsoku/>
              <w:autoSpaceDE/>
              <w:autoSpaceDN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bCs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highlight w:val="none"/>
                <w:lang w:val="en-US" w:eastAsia="zh-CN"/>
              </w:rPr>
              <w:t>12.88</w:t>
            </w:r>
          </w:p>
        </w:tc>
        <w:tc>
          <w:tcPr>
            <w:tcW w:w="960" w:type="dxa"/>
            <w:vAlign w:val="center"/>
          </w:tcPr>
          <w:p w14:paraId="118A5DE0">
            <w:pPr>
              <w:jc w:val="center"/>
              <w:rPr>
                <w:rFonts w:ascii="Times New Roman" w:hAnsi="Times New Roman" w:cs="Times New Roman" w:eastAsiaTheme="minorEastAsia"/>
                <w:bCs/>
                <w:highlight w:val="yellow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lang w:val="en-US" w:eastAsia="zh-CN"/>
              </w:rPr>
              <w:t>8</w:t>
            </w:r>
          </w:p>
        </w:tc>
        <w:tc>
          <w:tcPr>
            <w:tcW w:w="1013" w:type="dxa"/>
            <w:vAlign w:val="center"/>
          </w:tcPr>
          <w:p w14:paraId="097E2793">
            <w:pPr>
              <w:jc w:val="center"/>
              <w:rPr>
                <w:rFonts w:hint="default" w:ascii="Times New Roman" w:hAnsi="Times New Roman" w:cs="Times New Roman" w:eastAsiaTheme="minorEastAsia"/>
                <w:bCs/>
                <w:highlight w:val="yellow"/>
                <w:lang w:val="en-US" w:eastAsia="zh-CN"/>
              </w:rPr>
            </w:pPr>
            <w:r>
              <w:rPr>
                <w:rFonts w:hint="eastAsia" w:ascii="Times New Roman" w:hAnsi="Times New Roman" w:cs="Times New Roman" w:eastAsiaTheme="minorEastAsia"/>
                <w:bCs/>
                <w:highlight w:val="none"/>
                <w:lang w:val="en-US" w:eastAsia="zh-CN"/>
              </w:rPr>
              <w:t>26.5</w:t>
            </w:r>
          </w:p>
        </w:tc>
      </w:tr>
      <w:tr w14:paraId="75D87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807" w:type="pct"/>
            <w:gridSpan w:val="3"/>
            <w:vAlign w:val="center"/>
          </w:tcPr>
          <w:p w14:paraId="227BAC16">
            <w:pPr>
              <w:spacing w:line="240" w:lineRule="exact"/>
              <w:jc w:val="center"/>
              <w:rPr>
                <w:rFonts w:hint="eastAsia" w:ascii="Times New Roman" w:hAnsi="Times New Roman" w:eastAsia="宋体" w:cs="Times New Roman"/>
                <w:bCs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分类实践学分占总学分比</w:t>
            </w:r>
          </w:p>
        </w:tc>
        <w:tc>
          <w:tcPr>
            <w:tcW w:w="780" w:type="dxa"/>
            <w:vAlign w:val="center"/>
          </w:tcPr>
          <w:p w14:paraId="538DB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45" w:type="dxa"/>
            <w:vAlign w:val="center"/>
          </w:tcPr>
          <w:p w14:paraId="5AAC14E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990" w:type="dxa"/>
            <w:vAlign w:val="center"/>
          </w:tcPr>
          <w:p w14:paraId="227266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1035" w:type="dxa"/>
            <w:vAlign w:val="center"/>
          </w:tcPr>
          <w:p w14:paraId="10C64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 w:eastAsiaTheme="minorEastAsia"/>
                <w:b/>
                <w:bCs w:val="0"/>
                <w:lang w:val="en-US" w:eastAsia="zh-CN"/>
              </w:rPr>
              <w:t>9.26%</w:t>
            </w:r>
          </w:p>
        </w:tc>
        <w:tc>
          <w:tcPr>
            <w:tcW w:w="960" w:type="dxa"/>
            <w:vAlign w:val="center"/>
          </w:tcPr>
          <w:p w14:paraId="14F1E8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5.33%</w:t>
            </w:r>
          </w:p>
        </w:tc>
        <w:tc>
          <w:tcPr>
            <w:tcW w:w="1013" w:type="dxa"/>
            <w:shd w:val="clear" w:color="auto" w:fill="auto"/>
            <w:vAlign w:val="center"/>
          </w:tcPr>
          <w:p w14:paraId="2900E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cs="Times New Roman" w:eastAsiaTheme="minorEastAsia"/>
                <w:bCs/>
                <w:kern w:val="2"/>
                <w:sz w:val="21"/>
                <w:szCs w:val="22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17.67%</w:t>
            </w:r>
          </w:p>
        </w:tc>
      </w:tr>
      <w:tr w14:paraId="598A5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807" w:type="pct"/>
            <w:gridSpan w:val="3"/>
            <w:vAlign w:val="center"/>
          </w:tcPr>
          <w:p w14:paraId="7BD243A2">
            <w:pPr>
              <w:spacing w:line="240" w:lineRule="exac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专业性实践学分占总学分比</w:t>
            </w:r>
          </w:p>
        </w:tc>
        <w:tc>
          <w:tcPr>
            <w:tcW w:w="435" w:type="pct"/>
            <w:vAlign w:val="center"/>
          </w:tcPr>
          <w:p w14:paraId="141E5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527" w:type="pct"/>
            <w:vAlign w:val="center"/>
          </w:tcPr>
          <w:p w14:paraId="4F56633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552" w:type="pct"/>
            <w:vAlign w:val="center"/>
          </w:tcPr>
          <w:p w14:paraId="4BAC9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577" w:type="pct"/>
            <w:vAlign w:val="center"/>
          </w:tcPr>
          <w:p w14:paraId="0381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/>
                <w:bCs w:val="0"/>
                <w:lang w:val="en-US" w:eastAsia="zh-CN"/>
              </w:rPr>
            </w:pPr>
          </w:p>
        </w:tc>
        <w:tc>
          <w:tcPr>
            <w:tcW w:w="1100" w:type="pct"/>
            <w:gridSpan w:val="2"/>
            <w:vAlign w:val="center"/>
          </w:tcPr>
          <w:p w14:paraId="6CC1CC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23.0%</w:t>
            </w:r>
          </w:p>
        </w:tc>
      </w:tr>
      <w:tr w14:paraId="66B82D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807" w:type="pct"/>
            <w:gridSpan w:val="3"/>
            <w:vAlign w:val="center"/>
          </w:tcPr>
          <w:p w14:paraId="729B9770">
            <w:pPr>
              <w:spacing w:line="240" w:lineRule="exact"/>
              <w:jc w:val="center"/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</w:pPr>
            <w:r>
              <w:rPr>
                <w:rFonts w:hint="eastAsia" w:ascii="Times New Roman" w:hAnsi="Times New Roman"/>
                <w:b/>
                <w:bCs w:val="0"/>
                <w:color w:val="000000"/>
                <w:lang w:eastAsia="zh-CN"/>
              </w:rPr>
              <w:t>实践教学学分占总学分比</w:t>
            </w:r>
          </w:p>
        </w:tc>
        <w:tc>
          <w:tcPr>
            <w:tcW w:w="435" w:type="pct"/>
            <w:vAlign w:val="center"/>
          </w:tcPr>
          <w:p w14:paraId="69D2E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527" w:type="pct"/>
            <w:vAlign w:val="center"/>
          </w:tcPr>
          <w:p w14:paraId="0AC506A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552" w:type="pct"/>
            <w:vAlign w:val="center"/>
          </w:tcPr>
          <w:p w14:paraId="5E4A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 w:eastAsiaTheme="minorEastAsia"/>
                <w:bCs/>
              </w:rPr>
            </w:pPr>
          </w:p>
        </w:tc>
        <w:tc>
          <w:tcPr>
            <w:tcW w:w="1678" w:type="pct"/>
            <w:gridSpan w:val="3"/>
            <w:vAlign w:val="center"/>
          </w:tcPr>
          <w:p w14:paraId="22D5E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32.26%</w:t>
            </w:r>
          </w:p>
        </w:tc>
      </w:tr>
    </w:tbl>
    <w:p w14:paraId="176B5649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7"/>
          <w:sz w:val="24"/>
          <w:szCs w:val="22"/>
        </w:rPr>
      </w:pPr>
      <w:bookmarkStart w:id="1" w:name="_GoBack"/>
      <w:bookmarkEnd w:id="1"/>
    </w:p>
    <w:p w14:paraId="6FC9BB33">
      <w:pPr>
        <w:kinsoku/>
        <w:spacing w:line="15" w:lineRule="exact"/>
        <w:rPr>
          <w:rFonts w:ascii="Times New Roman" w:hAnsi="Times New Roman"/>
          <w:color w:val="auto"/>
        </w:rPr>
      </w:pPr>
    </w:p>
    <w:p w14:paraId="3AF222A1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七、学制与学位</w:t>
      </w:r>
    </w:p>
    <w:p w14:paraId="5FDE6285">
      <w:pPr>
        <w:kinsoku/>
        <w:spacing w:line="560" w:lineRule="exact"/>
        <w:ind w:firstLine="512" w:firstLineChars="200"/>
        <w:rPr>
          <w:rFonts w:asciiTheme="majorEastAsia" w:hAnsiTheme="majorEastAsia" w:eastAsiaTheme="majorEastAsia" w:cstheme="majorEastAsia"/>
          <w:color w:val="auto"/>
          <w:spacing w:val="8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8"/>
          <w:sz w:val="24"/>
          <w:szCs w:val="24"/>
        </w:rPr>
        <w:t>标准学制：4年，学习年限3-6年</w:t>
      </w:r>
    </w:p>
    <w:p w14:paraId="5AB792C7">
      <w:pPr>
        <w:kinsoku/>
        <w:spacing w:line="560" w:lineRule="exact"/>
        <w:ind w:firstLine="501" w:firstLineChars="196"/>
        <w:rPr>
          <w:rFonts w:asciiTheme="majorEastAsia" w:hAnsiTheme="majorEastAsia" w:eastAsiaTheme="majorEastAsia" w:cstheme="majorEastAsia"/>
          <w:color w:val="auto"/>
          <w:sz w:val="24"/>
          <w:szCs w:val="24"/>
        </w:rPr>
      </w:pPr>
      <w:r>
        <w:rPr>
          <w:rFonts w:hint="eastAsia" w:asciiTheme="majorEastAsia" w:hAnsiTheme="majorEastAsia" w:eastAsiaTheme="majorEastAsia" w:cstheme="majorEastAsia"/>
          <w:color w:val="auto"/>
          <w:spacing w:val="8"/>
          <w:sz w:val="24"/>
          <w:szCs w:val="24"/>
        </w:rPr>
        <w:t>授予学位：理学学士学位</w:t>
      </w:r>
    </w:p>
    <w:p w14:paraId="03FB63D3">
      <w:pPr>
        <w:kinsoku/>
        <w:spacing w:line="560" w:lineRule="exact"/>
        <w:jc w:val="both"/>
        <w:rPr>
          <w:rFonts w:ascii="黑体" w:hAnsi="黑体" w:eastAsia="黑体" w:cs="黑体"/>
          <w:color w:val="auto"/>
          <w:spacing w:val="4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sz w:val="28"/>
          <w:szCs w:val="28"/>
        </w:rPr>
        <w:t>八、专业核心课程</w:t>
      </w:r>
    </w:p>
    <w:p w14:paraId="3D026594">
      <w:pPr>
        <w:kinsoku/>
        <w:spacing w:line="560" w:lineRule="exact"/>
        <w:ind w:firstLine="536" w:firstLineChars="200"/>
        <w:rPr>
          <w:rFonts w:ascii="宋体" w:hAnsi="宋体" w:eastAsia="宋体" w:cs="宋体"/>
          <w:color w:val="auto"/>
          <w:spacing w:val="14"/>
          <w:sz w:val="24"/>
          <w:szCs w:val="24"/>
        </w:rPr>
      </w:pPr>
      <w:r>
        <w:rPr>
          <w:rFonts w:hint="eastAsia" w:ascii="宋体" w:hAnsi="宋体" w:eastAsia="宋体" w:cs="宋体"/>
          <w:color w:val="auto"/>
          <w:spacing w:val="14"/>
          <w:sz w:val="24"/>
          <w:szCs w:val="24"/>
        </w:rPr>
        <w:t>结构化学、有机反应机理、中级无机化学、有机合成化学、表面活性剂与界面化学、有机波谱分析、现代分析技术、生产实习。</w:t>
      </w:r>
    </w:p>
    <w:sectPr>
      <w:footerReference r:id="rId3" w:type="default"/>
      <w:pgSz w:w="11907" w:h="16839"/>
      <w:pgMar w:top="1134" w:right="1406" w:bottom="1134" w:left="1406" w:header="567" w:footer="567" w:gutter="0"/>
      <w:cols w:space="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58DA2A9-B3BE-48AF-87BA-5A600847E8A5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B06CD4D6-0298-4DB5-B847-CA25967D4FA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123533699"/>
    </w:sdtPr>
    <w:sdtEndPr>
      <w:rPr>
        <w:rFonts w:asciiTheme="minorEastAsia" w:hAnsiTheme="minorEastAsia" w:eastAsiaTheme="minorEastAsia"/>
        <w:sz w:val="28"/>
        <w:szCs w:val="28"/>
      </w:rPr>
    </w:sdtEndPr>
    <w:sdtContent>
      <w:p w14:paraId="053CC337">
        <w:pPr>
          <w:pStyle w:val="4"/>
          <w:jc w:val="center"/>
          <w:rPr>
            <w:rFonts w:asciiTheme="minorEastAsia" w:hAnsiTheme="minorEastAsia" w:eastAsiaTheme="minorEastAsia"/>
            <w:sz w:val="28"/>
            <w:szCs w:val="28"/>
          </w:rPr>
        </w:pPr>
      </w:p>
    </w:sdtContent>
  </w:sdt>
  <w:p w14:paraId="3FDAD7C1">
    <w:pPr>
      <w:pStyle w:val="4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efaultTabStop w:val="420"/>
  <w:displayHorizontalDrawingGridEvery w:val="1"/>
  <w:displayVerticalDrawingGridEvery w:val="1"/>
  <w:noPunctuationKerning w:val="1"/>
  <w:characterSpacingControl w:val="doNotCompress"/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4YmM3NDI2ZDYxZjVmNGYzMTBhY2Y0N2QwYzg3YTEifQ=="/>
  </w:docVars>
  <w:rsids>
    <w:rsidRoot w:val="00BA0ED1"/>
    <w:rsid w:val="0000199D"/>
    <w:rsid w:val="00014C1B"/>
    <w:rsid w:val="000214D0"/>
    <w:rsid w:val="00034BC6"/>
    <w:rsid w:val="00035BA9"/>
    <w:rsid w:val="00037E6E"/>
    <w:rsid w:val="00090289"/>
    <w:rsid w:val="000A2B30"/>
    <w:rsid w:val="000A7805"/>
    <w:rsid w:val="000C746C"/>
    <w:rsid w:val="000E79D6"/>
    <w:rsid w:val="001274E1"/>
    <w:rsid w:val="00150EBD"/>
    <w:rsid w:val="0017761E"/>
    <w:rsid w:val="00183820"/>
    <w:rsid w:val="00183B11"/>
    <w:rsid w:val="001C711A"/>
    <w:rsid w:val="001D4A17"/>
    <w:rsid w:val="00216622"/>
    <w:rsid w:val="0022202C"/>
    <w:rsid w:val="00244598"/>
    <w:rsid w:val="002A4E57"/>
    <w:rsid w:val="002A5A09"/>
    <w:rsid w:val="002A5A3F"/>
    <w:rsid w:val="002C24C0"/>
    <w:rsid w:val="00357E9B"/>
    <w:rsid w:val="00387485"/>
    <w:rsid w:val="003A0D32"/>
    <w:rsid w:val="003A657D"/>
    <w:rsid w:val="003B5850"/>
    <w:rsid w:val="003C7443"/>
    <w:rsid w:val="00421DF1"/>
    <w:rsid w:val="00454023"/>
    <w:rsid w:val="00473031"/>
    <w:rsid w:val="004A2CF5"/>
    <w:rsid w:val="004B0390"/>
    <w:rsid w:val="004B221A"/>
    <w:rsid w:val="004F0771"/>
    <w:rsid w:val="00501F48"/>
    <w:rsid w:val="00507A9D"/>
    <w:rsid w:val="00542F40"/>
    <w:rsid w:val="0055549D"/>
    <w:rsid w:val="0055728C"/>
    <w:rsid w:val="005A26F9"/>
    <w:rsid w:val="005A4258"/>
    <w:rsid w:val="005A729D"/>
    <w:rsid w:val="005B0C22"/>
    <w:rsid w:val="005D1C90"/>
    <w:rsid w:val="005E6D75"/>
    <w:rsid w:val="0060712E"/>
    <w:rsid w:val="00643BCC"/>
    <w:rsid w:val="006639C2"/>
    <w:rsid w:val="0066561E"/>
    <w:rsid w:val="0067054E"/>
    <w:rsid w:val="00677821"/>
    <w:rsid w:val="00686FA2"/>
    <w:rsid w:val="006D0A5E"/>
    <w:rsid w:val="006D7799"/>
    <w:rsid w:val="0072480B"/>
    <w:rsid w:val="007264F7"/>
    <w:rsid w:val="00735DB5"/>
    <w:rsid w:val="007443B7"/>
    <w:rsid w:val="0074695D"/>
    <w:rsid w:val="00772C1C"/>
    <w:rsid w:val="00774DD8"/>
    <w:rsid w:val="007B48A8"/>
    <w:rsid w:val="007C173F"/>
    <w:rsid w:val="007F1767"/>
    <w:rsid w:val="00816E90"/>
    <w:rsid w:val="00823618"/>
    <w:rsid w:val="008263D9"/>
    <w:rsid w:val="00876B69"/>
    <w:rsid w:val="008D3925"/>
    <w:rsid w:val="00903CCC"/>
    <w:rsid w:val="00911845"/>
    <w:rsid w:val="00922C88"/>
    <w:rsid w:val="00937DE2"/>
    <w:rsid w:val="00955C48"/>
    <w:rsid w:val="009D37A5"/>
    <w:rsid w:val="009D7898"/>
    <w:rsid w:val="00A048B0"/>
    <w:rsid w:val="00A16A76"/>
    <w:rsid w:val="00A41775"/>
    <w:rsid w:val="00A771AD"/>
    <w:rsid w:val="00AA5D6D"/>
    <w:rsid w:val="00AD1BA7"/>
    <w:rsid w:val="00AE32A5"/>
    <w:rsid w:val="00AF2B03"/>
    <w:rsid w:val="00B233E5"/>
    <w:rsid w:val="00B52B3A"/>
    <w:rsid w:val="00B84E6E"/>
    <w:rsid w:val="00B978DD"/>
    <w:rsid w:val="00BA0ED1"/>
    <w:rsid w:val="00BA42D7"/>
    <w:rsid w:val="00BB6072"/>
    <w:rsid w:val="00BF2974"/>
    <w:rsid w:val="00C00AB5"/>
    <w:rsid w:val="00C424B7"/>
    <w:rsid w:val="00C626FD"/>
    <w:rsid w:val="00C817FF"/>
    <w:rsid w:val="00C85771"/>
    <w:rsid w:val="00CA0619"/>
    <w:rsid w:val="00D1375D"/>
    <w:rsid w:val="00D30DB9"/>
    <w:rsid w:val="00D44A80"/>
    <w:rsid w:val="00D56D7B"/>
    <w:rsid w:val="00D82148"/>
    <w:rsid w:val="00DB6094"/>
    <w:rsid w:val="00DC36EA"/>
    <w:rsid w:val="00DD5EDD"/>
    <w:rsid w:val="00E269AA"/>
    <w:rsid w:val="00E30B57"/>
    <w:rsid w:val="00E45DF3"/>
    <w:rsid w:val="00E51082"/>
    <w:rsid w:val="00E927B1"/>
    <w:rsid w:val="00EA4CDC"/>
    <w:rsid w:val="00EB2D3D"/>
    <w:rsid w:val="00EF15B7"/>
    <w:rsid w:val="00F56E14"/>
    <w:rsid w:val="00F832C2"/>
    <w:rsid w:val="00FB074A"/>
    <w:rsid w:val="01454703"/>
    <w:rsid w:val="01733C4D"/>
    <w:rsid w:val="01F20710"/>
    <w:rsid w:val="022E212F"/>
    <w:rsid w:val="024D1A1D"/>
    <w:rsid w:val="028D3650"/>
    <w:rsid w:val="03AE3AA0"/>
    <w:rsid w:val="050A2C51"/>
    <w:rsid w:val="05F70902"/>
    <w:rsid w:val="07FD6608"/>
    <w:rsid w:val="08744BDF"/>
    <w:rsid w:val="09264ACD"/>
    <w:rsid w:val="0977065A"/>
    <w:rsid w:val="0B9753AD"/>
    <w:rsid w:val="0BA1720E"/>
    <w:rsid w:val="0BAB2AA6"/>
    <w:rsid w:val="0BB91287"/>
    <w:rsid w:val="0D1D5845"/>
    <w:rsid w:val="0D7F72C2"/>
    <w:rsid w:val="0DDF0D16"/>
    <w:rsid w:val="0E6E3645"/>
    <w:rsid w:val="0E9F7B7A"/>
    <w:rsid w:val="1025066F"/>
    <w:rsid w:val="10632EF8"/>
    <w:rsid w:val="10E36BC5"/>
    <w:rsid w:val="1122064A"/>
    <w:rsid w:val="11A07FD4"/>
    <w:rsid w:val="11AC522E"/>
    <w:rsid w:val="11CB37C8"/>
    <w:rsid w:val="12474E77"/>
    <w:rsid w:val="136A6610"/>
    <w:rsid w:val="13EE3A98"/>
    <w:rsid w:val="13F83651"/>
    <w:rsid w:val="14D6571F"/>
    <w:rsid w:val="14E261C9"/>
    <w:rsid w:val="151439D2"/>
    <w:rsid w:val="15270F29"/>
    <w:rsid w:val="165B2F3A"/>
    <w:rsid w:val="1672275E"/>
    <w:rsid w:val="170B4961"/>
    <w:rsid w:val="17703C75"/>
    <w:rsid w:val="189E5709"/>
    <w:rsid w:val="18A91570"/>
    <w:rsid w:val="196071E6"/>
    <w:rsid w:val="1B304996"/>
    <w:rsid w:val="1B476371"/>
    <w:rsid w:val="1B5F0D1E"/>
    <w:rsid w:val="1B7668D9"/>
    <w:rsid w:val="1B7C159E"/>
    <w:rsid w:val="1C9A2A0F"/>
    <w:rsid w:val="1D04257E"/>
    <w:rsid w:val="1D0F2986"/>
    <w:rsid w:val="1D100F23"/>
    <w:rsid w:val="1EA92197"/>
    <w:rsid w:val="1EE021C5"/>
    <w:rsid w:val="1F0C3366"/>
    <w:rsid w:val="201120ED"/>
    <w:rsid w:val="201B7F11"/>
    <w:rsid w:val="20387439"/>
    <w:rsid w:val="205B6DE8"/>
    <w:rsid w:val="218E05D9"/>
    <w:rsid w:val="219537A4"/>
    <w:rsid w:val="21E1216B"/>
    <w:rsid w:val="22437BC1"/>
    <w:rsid w:val="229B7A29"/>
    <w:rsid w:val="22F42DCC"/>
    <w:rsid w:val="23A02178"/>
    <w:rsid w:val="24264F54"/>
    <w:rsid w:val="2480698E"/>
    <w:rsid w:val="24882D62"/>
    <w:rsid w:val="25754238"/>
    <w:rsid w:val="258D026F"/>
    <w:rsid w:val="25AB5124"/>
    <w:rsid w:val="268E45DB"/>
    <w:rsid w:val="269F1FF9"/>
    <w:rsid w:val="26A2469F"/>
    <w:rsid w:val="26C058DB"/>
    <w:rsid w:val="270C275B"/>
    <w:rsid w:val="2762006E"/>
    <w:rsid w:val="278C42F2"/>
    <w:rsid w:val="28026FB4"/>
    <w:rsid w:val="28137B19"/>
    <w:rsid w:val="28670B37"/>
    <w:rsid w:val="28695261"/>
    <w:rsid w:val="29093F63"/>
    <w:rsid w:val="2A0077A5"/>
    <w:rsid w:val="2A247DBB"/>
    <w:rsid w:val="2A557F75"/>
    <w:rsid w:val="2AF67453"/>
    <w:rsid w:val="2B6F1311"/>
    <w:rsid w:val="2BFC74E3"/>
    <w:rsid w:val="2C0A28E6"/>
    <w:rsid w:val="2C215D81"/>
    <w:rsid w:val="2C5767DE"/>
    <w:rsid w:val="2C7530B9"/>
    <w:rsid w:val="2C8A4AF9"/>
    <w:rsid w:val="2CBA5C99"/>
    <w:rsid w:val="2CC26FDF"/>
    <w:rsid w:val="2D8F1639"/>
    <w:rsid w:val="2D9139BA"/>
    <w:rsid w:val="2E0228D1"/>
    <w:rsid w:val="2E1D764B"/>
    <w:rsid w:val="2E5A1FFE"/>
    <w:rsid w:val="30313232"/>
    <w:rsid w:val="304E6A48"/>
    <w:rsid w:val="316D3DF6"/>
    <w:rsid w:val="31885988"/>
    <w:rsid w:val="31A17923"/>
    <w:rsid w:val="320F75A3"/>
    <w:rsid w:val="32847455"/>
    <w:rsid w:val="32EB1476"/>
    <w:rsid w:val="337A7851"/>
    <w:rsid w:val="356D0E7C"/>
    <w:rsid w:val="35A9579F"/>
    <w:rsid w:val="36BA5D6D"/>
    <w:rsid w:val="36D04FF5"/>
    <w:rsid w:val="37501031"/>
    <w:rsid w:val="37590640"/>
    <w:rsid w:val="375E1DE2"/>
    <w:rsid w:val="383C2774"/>
    <w:rsid w:val="390E35B7"/>
    <w:rsid w:val="39FB5327"/>
    <w:rsid w:val="3A914FF9"/>
    <w:rsid w:val="3BB865B6"/>
    <w:rsid w:val="3BED5E65"/>
    <w:rsid w:val="3DFB09DB"/>
    <w:rsid w:val="3E70582C"/>
    <w:rsid w:val="3F0331D2"/>
    <w:rsid w:val="3F31011D"/>
    <w:rsid w:val="3F4D34B9"/>
    <w:rsid w:val="3F6525B0"/>
    <w:rsid w:val="3FA30668"/>
    <w:rsid w:val="40041976"/>
    <w:rsid w:val="405D0A36"/>
    <w:rsid w:val="407050F1"/>
    <w:rsid w:val="424A6593"/>
    <w:rsid w:val="42821601"/>
    <w:rsid w:val="42C811FF"/>
    <w:rsid w:val="42F8373B"/>
    <w:rsid w:val="43346E69"/>
    <w:rsid w:val="438F4579"/>
    <w:rsid w:val="43DA6B22"/>
    <w:rsid w:val="440921E4"/>
    <w:rsid w:val="441C3545"/>
    <w:rsid w:val="446948F1"/>
    <w:rsid w:val="447E547B"/>
    <w:rsid w:val="44951994"/>
    <w:rsid w:val="459C53CA"/>
    <w:rsid w:val="45A309D3"/>
    <w:rsid w:val="45CC01E5"/>
    <w:rsid w:val="4690603B"/>
    <w:rsid w:val="47242D51"/>
    <w:rsid w:val="482F5DC6"/>
    <w:rsid w:val="48535370"/>
    <w:rsid w:val="48A83C8F"/>
    <w:rsid w:val="492F6EEB"/>
    <w:rsid w:val="496469E0"/>
    <w:rsid w:val="49EC3FB3"/>
    <w:rsid w:val="4A0A614B"/>
    <w:rsid w:val="4A4A52F3"/>
    <w:rsid w:val="4A770517"/>
    <w:rsid w:val="4A895CED"/>
    <w:rsid w:val="4AB05EAC"/>
    <w:rsid w:val="4ABD5996"/>
    <w:rsid w:val="4B1C02F8"/>
    <w:rsid w:val="4C9702F9"/>
    <w:rsid w:val="4D191146"/>
    <w:rsid w:val="4D682A44"/>
    <w:rsid w:val="4E396780"/>
    <w:rsid w:val="4F255F02"/>
    <w:rsid w:val="4FD84E7A"/>
    <w:rsid w:val="50A04ABE"/>
    <w:rsid w:val="51132CC3"/>
    <w:rsid w:val="51982027"/>
    <w:rsid w:val="52E74611"/>
    <w:rsid w:val="55A16B67"/>
    <w:rsid w:val="565C2507"/>
    <w:rsid w:val="577E683E"/>
    <w:rsid w:val="57F608FF"/>
    <w:rsid w:val="58E356F5"/>
    <w:rsid w:val="59084281"/>
    <w:rsid w:val="59AC5554"/>
    <w:rsid w:val="5A023C26"/>
    <w:rsid w:val="5A0D79FC"/>
    <w:rsid w:val="5A344EA3"/>
    <w:rsid w:val="5ACD3DB4"/>
    <w:rsid w:val="5B330DB9"/>
    <w:rsid w:val="5B357F4A"/>
    <w:rsid w:val="5B413E1D"/>
    <w:rsid w:val="5D1A6C78"/>
    <w:rsid w:val="5E011BEC"/>
    <w:rsid w:val="5E0314BA"/>
    <w:rsid w:val="5E5E1A97"/>
    <w:rsid w:val="5F345E70"/>
    <w:rsid w:val="5F785D9C"/>
    <w:rsid w:val="5F8372B8"/>
    <w:rsid w:val="5FC95781"/>
    <w:rsid w:val="60737EFD"/>
    <w:rsid w:val="60BF3DBF"/>
    <w:rsid w:val="61C3079F"/>
    <w:rsid w:val="6278385C"/>
    <w:rsid w:val="63381C06"/>
    <w:rsid w:val="640931CD"/>
    <w:rsid w:val="6671147A"/>
    <w:rsid w:val="66F47DA2"/>
    <w:rsid w:val="674448D3"/>
    <w:rsid w:val="6746743A"/>
    <w:rsid w:val="67C55118"/>
    <w:rsid w:val="67E64431"/>
    <w:rsid w:val="69054923"/>
    <w:rsid w:val="696A536C"/>
    <w:rsid w:val="69831701"/>
    <w:rsid w:val="6A0C2BB4"/>
    <w:rsid w:val="6A34255D"/>
    <w:rsid w:val="6A706DE0"/>
    <w:rsid w:val="6A9A6D03"/>
    <w:rsid w:val="6AA270B4"/>
    <w:rsid w:val="6AA87EC6"/>
    <w:rsid w:val="6AE057BD"/>
    <w:rsid w:val="6BBD5B14"/>
    <w:rsid w:val="6C141EFD"/>
    <w:rsid w:val="6C6770B8"/>
    <w:rsid w:val="6D1A3AF6"/>
    <w:rsid w:val="6D2C61F2"/>
    <w:rsid w:val="6D4260BE"/>
    <w:rsid w:val="6E5B69FB"/>
    <w:rsid w:val="6E650847"/>
    <w:rsid w:val="6EAE67D2"/>
    <w:rsid w:val="6ED75856"/>
    <w:rsid w:val="6ED956C3"/>
    <w:rsid w:val="6F4B0F13"/>
    <w:rsid w:val="6F6035E8"/>
    <w:rsid w:val="7075449A"/>
    <w:rsid w:val="70755E26"/>
    <w:rsid w:val="70CB230C"/>
    <w:rsid w:val="71C07997"/>
    <w:rsid w:val="71F9160D"/>
    <w:rsid w:val="726B7FBA"/>
    <w:rsid w:val="73592A5F"/>
    <w:rsid w:val="739E7864"/>
    <w:rsid w:val="73B9469D"/>
    <w:rsid w:val="73DF359C"/>
    <w:rsid w:val="73F8480B"/>
    <w:rsid w:val="743A3405"/>
    <w:rsid w:val="74AB13F9"/>
    <w:rsid w:val="762F5265"/>
    <w:rsid w:val="765207E8"/>
    <w:rsid w:val="770060F7"/>
    <w:rsid w:val="7740621D"/>
    <w:rsid w:val="77DC4DFE"/>
    <w:rsid w:val="79327D61"/>
    <w:rsid w:val="7A545986"/>
    <w:rsid w:val="7C142D60"/>
    <w:rsid w:val="7C444D20"/>
    <w:rsid w:val="7C60166E"/>
    <w:rsid w:val="7CE209E7"/>
    <w:rsid w:val="7CE26B65"/>
    <w:rsid w:val="7D1D05F1"/>
    <w:rsid w:val="7D5567E4"/>
    <w:rsid w:val="7DB3215D"/>
    <w:rsid w:val="7E5853BB"/>
    <w:rsid w:val="7E9646DD"/>
    <w:rsid w:val="7EB22A7B"/>
    <w:rsid w:val="7EFE1AFE"/>
    <w:rsid w:val="7F3C1B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pPr>
      <w:spacing w:after="120"/>
    </w:pPr>
  </w:style>
  <w:style w:type="paragraph" w:styleId="3">
    <w:name w:val="Balloon Text"/>
    <w:basedOn w:val="1"/>
    <w:link w:val="13"/>
    <w:qFormat/>
    <w:uiPriority w:val="0"/>
    <w:rPr>
      <w:sz w:val="18"/>
      <w:szCs w:val="18"/>
    </w:rPr>
  </w:style>
  <w:style w:type="paragraph" w:styleId="4">
    <w:name w:val="footer"/>
    <w:basedOn w:val="1"/>
    <w:link w:val="10"/>
    <w:autoRedefine/>
    <w:qFormat/>
    <w:uiPriority w:val="99"/>
    <w:pPr>
      <w:tabs>
        <w:tab w:val="center" w:pos="4153"/>
        <w:tab w:val="right" w:pos="8306"/>
      </w:tabs>
    </w:pPr>
    <w:rPr>
      <w:sz w:val="18"/>
    </w:rPr>
  </w:style>
  <w:style w:type="paragraph" w:styleId="5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table" w:styleId="7">
    <w:name w:val="Table Grid"/>
    <w:basedOn w:val="6"/>
    <w:qFormat/>
    <w:uiPriority w:val="39"/>
    <w:rPr>
      <w:rFonts w:asciiTheme="minorHAnsi" w:hAnsiTheme="minorHAnsi" w:eastAsiaTheme="minorEastAsia" w:cstheme="minorBid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0">
    <w:name w:val="页脚 Char"/>
    <w:basedOn w:val="8"/>
    <w:link w:val="4"/>
    <w:autoRedefine/>
    <w:qFormat/>
    <w:uiPriority w:val="99"/>
    <w:rPr>
      <w:rFonts w:ascii="Arial" w:hAnsi="Arial" w:eastAsia="Arial" w:cs="Arial"/>
      <w:snapToGrid w:val="0"/>
      <w:color w:val="000000"/>
      <w:sz w:val="18"/>
      <w:szCs w:val="21"/>
    </w:rPr>
  </w:style>
  <w:style w:type="paragraph" w:styleId="11">
    <w:name w:val="List Paragraph"/>
    <w:basedOn w:val="1"/>
    <w:autoRedefine/>
    <w:qFormat/>
    <w:uiPriority w:val="34"/>
    <w:pPr>
      <w:ind w:firstLine="420"/>
    </w:pPr>
  </w:style>
  <w:style w:type="character" w:customStyle="1" w:styleId="12">
    <w:name w:val="正文文本 Char"/>
    <w:basedOn w:val="8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</w:rPr>
  </w:style>
  <w:style w:type="character" w:customStyle="1" w:styleId="13">
    <w:name w:val="批注框文本 Char"/>
    <w:basedOn w:val="8"/>
    <w:link w:val="3"/>
    <w:qFormat/>
    <w:uiPriority w:val="0"/>
    <w:rPr>
      <w:rFonts w:ascii="Arial" w:hAnsi="Arial" w:eastAsia="Arial" w:cs="Arial"/>
      <w:snapToGrid w:val="0"/>
      <w:color w:val="00000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2449</Words>
  <Characters>2564</Characters>
  <Lines>21</Lines>
  <Paragraphs>5</Paragraphs>
  <TotalTime>47</TotalTime>
  <ScaleCrop>false</ScaleCrop>
  <LinksUpToDate>false</LinksUpToDate>
  <CharactersWithSpaces>2570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2024-05-04T15:55:00Z</dcterms:created>
  <dc:creator>Ruby</dc:creator>
  <cp:lastModifiedBy>忆江南</cp:lastModifiedBy>
  <dcterms:modified xsi:type="dcterms:W3CDTF">2026-09-26T02:38:03Z</dcterms:modified>
  <cp:revision>47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2024-03-12T10:08:04Z</vt:filetime>
  </property>
  <property fmtid="{D5CDD505-2E9C-101B-9397-08002B2CF9AE}" pid="4" name="KSOProductBuildVer">
    <vt:lpwstr>2052-12.1.0.28043</vt:lpwstr>
  </property>
  <property fmtid="{D5CDD505-2E9C-101B-9397-08002B2CF9AE}" pid="5" name="ICV">
    <vt:lpwstr>38FD9799638F4FA4B435C75B07BF8224_13</vt:lpwstr>
  </property>
  <property fmtid="{D5CDD505-2E9C-101B-9397-08002B2CF9AE}" pid="6" name="KSOTemplateDocerSaveRecord">
    <vt:lpwstr>eyJoZGlkIjoiZWIwY2M0Mjg4ZTJiZWIwMWFlYTIxNzMzZjAyNWE1NjAiLCJ1c2VySWQiOiI3OTczNDIxOTcifQ==</vt:lpwstr>
  </property>
</Properties>
</file>