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1117D">
      <w:pPr>
        <w:kinsoku/>
        <w:spacing w:before="120" w:line="560" w:lineRule="exact"/>
        <w:ind w:firstLine="638"/>
        <w:jc w:val="center"/>
        <w:rPr>
          <w:rFonts w:ascii="Times New Roman" w:hAnsi="Times New Roman" w:eastAsia="宋体" w:cs="Times New Roman"/>
          <w:sz w:val="44"/>
          <w:szCs w:val="36"/>
        </w:rPr>
      </w:pPr>
      <w:r>
        <w:rPr>
          <w:rFonts w:ascii="Times New Roman" w:hAnsi="Times New Roman" w:eastAsia="宋体" w:cs="Times New Roman"/>
          <w:b/>
          <w:bCs/>
          <w:spacing w:val="-2"/>
          <w:sz w:val="32"/>
          <w:szCs w:val="32"/>
        </w:rPr>
        <w:t>新能源材料与器件专业培养</w:t>
      </w:r>
      <w:r>
        <w:rPr>
          <w:rFonts w:ascii="Times New Roman" w:hAnsi="Times New Roman" w:eastAsia="宋体" w:cs="Times New Roman"/>
          <w:b/>
          <w:bCs/>
          <w:spacing w:val="-1"/>
          <w:sz w:val="32"/>
          <w:szCs w:val="32"/>
        </w:rPr>
        <w:t>方案</w:t>
      </w:r>
    </w:p>
    <w:p w14:paraId="21D46E6D">
      <w:pPr>
        <w:kinsoku/>
        <w:spacing w:line="480" w:lineRule="exact"/>
        <w:ind w:firstLine="568"/>
        <w:jc w:val="both"/>
        <w:rPr>
          <w:rFonts w:ascii="Times New Roman" w:hAnsi="Times New Roman" w:eastAsia="黑体" w:cs="Times New Roman"/>
          <w:spacing w:val="4"/>
          <w:sz w:val="28"/>
          <w:szCs w:val="28"/>
        </w:rPr>
      </w:pPr>
    </w:p>
    <w:p w14:paraId="741B3056">
      <w:pPr>
        <w:kinsoku/>
        <w:spacing w:line="480" w:lineRule="exact"/>
        <w:jc w:val="both"/>
        <w:rPr>
          <w:rFonts w:ascii="Times New Roman" w:hAnsi="Times New Roman" w:eastAsia="黑体" w:cs="Times New Roman"/>
          <w:spacing w:val="4"/>
          <w:sz w:val="28"/>
          <w:szCs w:val="28"/>
        </w:rPr>
      </w:pPr>
      <w:r>
        <w:rPr>
          <w:rFonts w:ascii="Times New Roman" w:hAnsi="Times New Roman" w:eastAsia="黑体" w:cs="Times New Roman"/>
          <w:spacing w:val="4"/>
          <w:sz w:val="28"/>
          <w:szCs w:val="28"/>
        </w:rPr>
        <w:t>一、专业介绍</w:t>
      </w:r>
    </w:p>
    <w:p w14:paraId="2540AAD4">
      <w:pPr>
        <w:kinsoku/>
        <w:spacing w:line="480" w:lineRule="exact"/>
        <w:ind w:firstLine="480" w:firstLineChars="200"/>
        <w:jc w:val="both"/>
        <w:rPr>
          <w:rFonts w:ascii="Times New Roman" w:hAnsi="Times New Roman" w:cs="Times New Roman" w:eastAsiaTheme="majorEastAsia"/>
          <w:sz w:val="24"/>
          <w:szCs w:val="24"/>
        </w:rPr>
      </w:pPr>
      <w:r>
        <w:rPr>
          <w:rFonts w:hint="eastAsia" w:ascii="Times New Roman" w:hAnsi="Times New Roman" w:cs="Times New Roman" w:eastAsiaTheme="majorEastAsia"/>
          <w:sz w:val="24"/>
          <w:szCs w:val="24"/>
        </w:rPr>
        <w:t>面向国家“双碳”战略、能源安全需求以及天津市新能源产业从材料到资源回收的全链条需要，我校在2024年国家级一流专业化学工程与工艺的能源化工方向基础上，于2026年将天津市一流专业材料化学升级为新能源材料与器件专业，并获得教育部批准建设。依托天津科技大学化工与材料学院化学工程与技术一级学科博士学位授权点和材料科学与工程一级学科硕士学位授权点的优势资源、深厚的学术积淀和卓越的科研实力，紧密围绕新能源材料合成、电极工程、器件集成、系统测试、资源循环的全链条应用，以新型电池和绿色氢能为特色，致力于培养适应国家新能源产业需求的高素质创新型工程技术人才。</w:t>
      </w:r>
    </w:p>
    <w:p w14:paraId="570B8DA4">
      <w:pPr>
        <w:kinsoku/>
        <w:spacing w:line="480" w:lineRule="exact"/>
        <w:jc w:val="both"/>
        <w:rPr>
          <w:rFonts w:ascii="Times New Roman" w:hAnsi="Times New Roman" w:eastAsia="黑体" w:cs="Times New Roman"/>
          <w:spacing w:val="4"/>
          <w:sz w:val="28"/>
          <w:szCs w:val="28"/>
        </w:rPr>
      </w:pPr>
      <w:r>
        <w:rPr>
          <w:rFonts w:ascii="Times New Roman" w:hAnsi="Times New Roman" w:eastAsia="黑体" w:cs="Times New Roman"/>
          <w:spacing w:val="4"/>
          <w:sz w:val="28"/>
          <w:szCs w:val="28"/>
        </w:rPr>
        <w:t>二、培养目标</w:t>
      </w:r>
    </w:p>
    <w:p w14:paraId="76748086">
      <w:pPr>
        <w:widowControl w:val="0"/>
        <w:spacing w:line="460" w:lineRule="exact"/>
        <w:ind w:firstLine="480" w:firstLineChars="200"/>
        <w:jc w:val="both"/>
        <w:rPr>
          <w:rFonts w:ascii="Times New Roman" w:hAnsi="Times New Roman" w:cs="Times New Roman" w:eastAsiaTheme="minorEastAsia"/>
          <w:sz w:val="24"/>
          <w:szCs w:val="24"/>
        </w:rPr>
      </w:pPr>
      <w:r>
        <w:rPr>
          <w:rFonts w:hint="eastAsia" w:ascii="宋体" w:hAnsi="宋体" w:eastAsia="宋体" w:cs="宋体"/>
          <w:sz w:val="24"/>
          <w:szCs w:val="24"/>
        </w:rPr>
        <w:t>本</w:t>
      </w:r>
      <w:r>
        <w:rPr>
          <w:rFonts w:hint="eastAsia" w:ascii="Times New Roman" w:hAnsi="Times New Roman"/>
          <w:sz w:val="24"/>
          <w:szCs w:val="24"/>
        </w:rPr>
        <w:t>专业培养德、智、体、美、劳全面发展的社会主义事业合格建设者和可靠接班人。</w:t>
      </w:r>
      <w:r>
        <w:rPr>
          <w:rFonts w:hint="eastAsia" w:ascii="Times New Roman" w:hAnsi="Times New Roman" w:eastAsia="宋体" w:cs="Times New Roman"/>
          <w:sz w:val="24"/>
          <w:szCs w:val="24"/>
        </w:rPr>
        <w:t>培养适应国家新能源战略和天津市新能源产业发展需要，具备扎实的基础理论知识、新能源材料与器件专业知识、专业技能和工程实践能力，</w:t>
      </w:r>
      <w:r>
        <w:rPr>
          <w:rFonts w:hint="eastAsia" w:ascii="Times New Roman" w:hAnsi="Times New Roman" w:cs="Times New Roman" w:eastAsiaTheme="majorEastAsia"/>
          <w:color w:val="auto"/>
          <w:spacing w:val="-6"/>
          <w:sz w:val="24"/>
          <w:szCs w:val="24"/>
        </w:rPr>
        <w:t>具有深厚的家国情怀和使命担当、良好的人文科学素养和国际化视野、良好的职业道德和高度的社会责任感、良好的团队合作精神和健康的身心素质，具有危机意识和应对危机的基本能力，具有较强的竞争意识、创新能力和持续学习能力，</w:t>
      </w:r>
      <w:r>
        <w:rPr>
          <w:rFonts w:hint="eastAsia" w:ascii="宋体" w:hAnsi="宋体" w:eastAsia="宋体" w:cs="宋体"/>
          <w:spacing w:val="4"/>
          <w:sz w:val="24"/>
          <w:szCs w:val="24"/>
        </w:rPr>
        <w:t>学生毕业后5年左右</w:t>
      </w:r>
      <w:r>
        <w:rPr>
          <w:rFonts w:hint="eastAsia" w:ascii="Times New Roman" w:hAnsi="Times New Roman" w:eastAsia="宋体" w:cs="Times New Roman"/>
          <w:sz w:val="24"/>
          <w:szCs w:val="24"/>
        </w:rPr>
        <w:t>能够在新能源全链条领域，尤其是新型电池和绿色氢能等相关领域从事科学研究、技术开发、工艺设计、设备系统组装与测试以及工程管理等工作的高素质创新型工程技术人才。</w:t>
      </w:r>
    </w:p>
    <w:p w14:paraId="4F38DA72">
      <w:pPr>
        <w:overflowPunct w:val="0"/>
        <w:topLinePunct/>
        <w:spacing w:line="480" w:lineRule="exact"/>
        <w:ind w:firstLine="482" w:firstLineChars="200"/>
        <w:jc w:val="both"/>
        <w:rPr>
          <w:rFonts w:ascii="Times New Roman" w:hAnsi="Times New Roman" w:cs="Times New Roman" w:eastAsiaTheme="minorEastAsia"/>
          <w:sz w:val="24"/>
          <w:szCs w:val="28"/>
        </w:rPr>
      </w:pPr>
      <w:r>
        <w:rPr>
          <w:rFonts w:ascii="Times New Roman" w:hAnsi="Times New Roman" w:cs="Times New Roman" w:eastAsiaTheme="minorEastAsia"/>
          <w:b/>
          <w:bCs/>
          <w:sz w:val="24"/>
          <w:szCs w:val="28"/>
        </w:rPr>
        <w:t>培养目标1</w:t>
      </w:r>
      <w:r>
        <w:rPr>
          <w:rFonts w:ascii="Times New Roman" w:hAnsi="Times New Roman" w:cs="Times New Roman" w:eastAsiaTheme="minorEastAsia"/>
          <w:sz w:val="24"/>
          <w:szCs w:val="28"/>
        </w:rPr>
        <w:t>（职业</w:t>
      </w:r>
      <w:r>
        <w:rPr>
          <w:rFonts w:hint="eastAsia" w:ascii="Times New Roman" w:hAnsi="Times New Roman" w:cs="Times New Roman" w:eastAsiaTheme="minorEastAsia"/>
          <w:sz w:val="24"/>
          <w:szCs w:val="28"/>
        </w:rPr>
        <w:t>能力</w:t>
      </w:r>
      <w:r>
        <w:rPr>
          <w:rFonts w:ascii="Times New Roman" w:hAnsi="Times New Roman" w:cs="Times New Roman" w:eastAsiaTheme="minorEastAsia"/>
          <w:sz w:val="24"/>
          <w:szCs w:val="28"/>
        </w:rPr>
        <w:t>）：具有坚定的思想政治立场、良好的人文社科素养、职业道德和社会责任感</w:t>
      </w:r>
      <w:r>
        <w:rPr>
          <w:rFonts w:hint="eastAsia" w:ascii="Times New Roman" w:hAnsi="Times New Roman" w:cs="Times New Roman" w:eastAsiaTheme="minorEastAsia"/>
          <w:sz w:val="24"/>
          <w:szCs w:val="28"/>
        </w:rPr>
        <w:t>；</w:t>
      </w:r>
      <w:r>
        <w:rPr>
          <w:rFonts w:ascii="Times New Roman" w:hAnsi="Times New Roman" w:cs="Times New Roman" w:eastAsiaTheme="minorEastAsia"/>
          <w:sz w:val="24"/>
          <w:szCs w:val="28"/>
        </w:rPr>
        <w:t>具备独立或协同解决新能源材料结构</w:t>
      </w:r>
      <w:r>
        <w:rPr>
          <w:rFonts w:hint="eastAsia" w:ascii="Times New Roman" w:hAnsi="Times New Roman" w:cs="Times New Roman" w:eastAsiaTheme="minorEastAsia"/>
          <w:sz w:val="24"/>
          <w:szCs w:val="28"/>
        </w:rPr>
        <w:t>和</w:t>
      </w:r>
      <w:r>
        <w:rPr>
          <w:rFonts w:ascii="Times New Roman" w:hAnsi="Times New Roman" w:cs="Times New Roman" w:eastAsiaTheme="minorEastAsia"/>
          <w:sz w:val="24"/>
          <w:szCs w:val="28"/>
        </w:rPr>
        <w:t>性能</w:t>
      </w:r>
      <w:r>
        <w:rPr>
          <w:rFonts w:hint="eastAsia" w:ascii="Times New Roman" w:hAnsi="Times New Roman" w:cs="Times New Roman" w:eastAsiaTheme="minorEastAsia"/>
          <w:sz w:val="24"/>
          <w:szCs w:val="28"/>
        </w:rPr>
        <w:t>的表征与测试</w:t>
      </w:r>
      <w:r>
        <w:rPr>
          <w:rFonts w:ascii="Times New Roman" w:hAnsi="Times New Roman" w:cs="Times New Roman" w:eastAsiaTheme="minorEastAsia"/>
          <w:sz w:val="24"/>
          <w:szCs w:val="28"/>
        </w:rPr>
        <w:t>、新能源器件</w:t>
      </w:r>
      <w:r>
        <w:rPr>
          <w:rFonts w:hint="eastAsia" w:ascii="Times New Roman" w:hAnsi="Times New Roman" w:cs="Times New Roman" w:eastAsiaTheme="minorEastAsia"/>
          <w:sz w:val="24"/>
          <w:szCs w:val="28"/>
        </w:rPr>
        <w:t>的</w:t>
      </w:r>
      <w:r>
        <w:rPr>
          <w:rFonts w:ascii="Times New Roman" w:hAnsi="Times New Roman" w:cs="Times New Roman" w:eastAsiaTheme="minorEastAsia"/>
          <w:sz w:val="24"/>
          <w:szCs w:val="28"/>
        </w:rPr>
        <w:t>组装与运行、产品生产与应用、技术改造与升级</w:t>
      </w:r>
      <w:r>
        <w:rPr>
          <w:rFonts w:hint="eastAsia" w:ascii="Times New Roman" w:hAnsi="Times New Roman" w:cs="Times New Roman" w:eastAsiaTheme="minorEastAsia"/>
          <w:sz w:val="24"/>
          <w:szCs w:val="28"/>
        </w:rPr>
        <w:t>以及</w:t>
      </w:r>
      <w:r>
        <w:rPr>
          <w:rFonts w:ascii="Times New Roman" w:hAnsi="Times New Roman" w:cs="Times New Roman" w:eastAsiaTheme="minorEastAsia"/>
          <w:sz w:val="24"/>
          <w:szCs w:val="28"/>
        </w:rPr>
        <w:t>相关管理中的</w:t>
      </w:r>
      <w:r>
        <w:rPr>
          <w:rFonts w:hint="eastAsia" w:ascii="Times New Roman" w:hAnsi="Times New Roman" w:cs="Times New Roman" w:eastAsiaTheme="minorEastAsia"/>
          <w:sz w:val="24"/>
          <w:szCs w:val="28"/>
        </w:rPr>
        <w:t>复杂</w:t>
      </w:r>
      <w:r>
        <w:rPr>
          <w:rFonts w:ascii="Times New Roman" w:hAnsi="Times New Roman" w:cs="Times New Roman" w:eastAsiaTheme="minorEastAsia"/>
          <w:sz w:val="24"/>
          <w:szCs w:val="28"/>
        </w:rPr>
        <w:t xml:space="preserve">工程问题的基础职业能力。  </w:t>
      </w:r>
    </w:p>
    <w:p w14:paraId="532127D9">
      <w:pPr>
        <w:spacing w:line="480" w:lineRule="exact"/>
        <w:ind w:firstLine="482" w:firstLineChars="200"/>
        <w:jc w:val="both"/>
        <w:rPr>
          <w:rFonts w:ascii="Times New Roman" w:hAnsi="Times New Roman" w:cs="Times New Roman" w:eastAsiaTheme="minorEastAsia"/>
          <w:sz w:val="24"/>
          <w:szCs w:val="24"/>
        </w:rPr>
      </w:pPr>
      <w:r>
        <w:rPr>
          <w:rFonts w:ascii="Times New Roman" w:hAnsi="Times New Roman" w:cs="Times New Roman" w:eastAsiaTheme="minorEastAsia"/>
          <w:b/>
          <w:bCs/>
          <w:sz w:val="24"/>
          <w:szCs w:val="28"/>
        </w:rPr>
        <w:t>培养目标2</w:t>
      </w:r>
      <w:r>
        <w:rPr>
          <w:rFonts w:ascii="Times New Roman" w:hAnsi="Times New Roman" w:cs="Times New Roman" w:eastAsiaTheme="minorEastAsia"/>
          <w:sz w:val="24"/>
          <w:szCs w:val="28"/>
        </w:rPr>
        <w:t>（专业能力）：能够多学科融会贯通，熟练应用专业前沿知识，具备</w:t>
      </w:r>
      <w:r>
        <w:rPr>
          <w:rFonts w:ascii="Times New Roman" w:hAnsi="Times New Roman" w:cs="Times New Roman" w:eastAsiaTheme="minorEastAsia"/>
          <w:sz w:val="24"/>
          <w:szCs w:val="24"/>
        </w:rPr>
        <w:t>运用数学、自然科学、工程基础和新能源知识</w:t>
      </w:r>
      <w:r>
        <w:rPr>
          <w:rFonts w:hint="eastAsia" w:ascii="Times New Roman" w:hAnsi="Times New Roman" w:eastAsiaTheme="minorEastAsia"/>
          <w:sz w:val="24"/>
          <w:szCs w:val="24"/>
        </w:rPr>
        <w:t>识别、表达、分析、研究和解决</w:t>
      </w:r>
      <w:r>
        <w:rPr>
          <w:rFonts w:hint="eastAsia" w:ascii="宋体" w:hAnsi="宋体" w:eastAsia="宋体" w:cs="宋体"/>
          <w:sz w:val="24"/>
          <w:szCs w:val="24"/>
        </w:rPr>
        <w:t>复杂储能工程问题的能力</w:t>
      </w:r>
      <w:r>
        <w:rPr>
          <w:rFonts w:ascii="Times New Roman" w:hAnsi="Times New Roman" w:cs="Times New Roman" w:eastAsiaTheme="minorEastAsia"/>
          <w:sz w:val="24"/>
          <w:szCs w:val="24"/>
        </w:rPr>
        <w:t>。</w:t>
      </w:r>
    </w:p>
    <w:p w14:paraId="1B380F22">
      <w:pPr>
        <w:widowControl w:val="0"/>
        <w:spacing w:line="460" w:lineRule="exact"/>
        <w:ind w:firstLine="482" w:firstLineChars="200"/>
        <w:jc w:val="both"/>
        <w:rPr>
          <w:rFonts w:ascii="Times New Roman" w:hAnsi="Times New Roman" w:eastAsiaTheme="minorEastAsia"/>
          <w:sz w:val="24"/>
          <w:szCs w:val="24"/>
        </w:rPr>
      </w:pPr>
      <w:r>
        <w:rPr>
          <w:rFonts w:ascii="Times New Roman" w:hAnsi="Times New Roman" w:cs="Times New Roman" w:eastAsiaTheme="minorEastAsia"/>
          <w:b/>
          <w:bCs/>
          <w:sz w:val="24"/>
          <w:szCs w:val="28"/>
        </w:rPr>
        <w:t>培养目标3</w:t>
      </w:r>
      <w:r>
        <w:rPr>
          <w:rFonts w:ascii="Times New Roman" w:hAnsi="Times New Roman" w:cs="Times New Roman" w:eastAsiaTheme="minorEastAsia"/>
          <w:sz w:val="24"/>
          <w:szCs w:val="28"/>
        </w:rPr>
        <w:t>（</w:t>
      </w:r>
      <w:r>
        <w:rPr>
          <w:rFonts w:hint="eastAsia" w:ascii="Times New Roman" w:hAnsi="Times New Roman" w:cs="Times New Roman" w:eastAsiaTheme="minorEastAsia"/>
          <w:sz w:val="24"/>
          <w:szCs w:val="28"/>
        </w:rPr>
        <w:t>工程素养</w:t>
      </w:r>
      <w:r>
        <w:rPr>
          <w:rFonts w:ascii="Times New Roman" w:hAnsi="Times New Roman" w:cs="Times New Roman" w:eastAsiaTheme="minorEastAsia"/>
          <w:sz w:val="24"/>
          <w:szCs w:val="28"/>
        </w:rPr>
        <w:t>）：</w:t>
      </w:r>
      <w:r>
        <w:rPr>
          <w:rFonts w:ascii="Times New Roman" w:hAnsi="Times New Roman" w:cs="Times New Roman" w:eastAsiaTheme="minorEastAsia"/>
          <w:sz w:val="24"/>
          <w:szCs w:val="24"/>
        </w:rPr>
        <w:t>运用新能源专业现代工程工具和信息技术工具，</w:t>
      </w:r>
      <w:r>
        <w:rPr>
          <w:rFonts w:hint="eastAsia" w:ascii="Times New Roman" w:hAnsi="Times New Roman" w:cs="Times New Roman" w:eastAsiaTheme="minorEastAsia"/>
          <w:sz w:val="24"/>
          <w:szCs w:val="24"/>
        </w:rPr>
        <w:t>创新性地</w:t>
      </w:r>
      <w:r>
        <w:rPr>
          <w:rFonts w:ascii="Times New Roman" w:hAnsi="Times New Roman" w:cs="Times New Roman" w:eastAsiaTheme="minorEastAsia"/>
          <w:sz w:val="24"/>
          <w:szCs w:val="24"/>
        </w:rPr>
        <w:t>设计和实施</w:t>
      </w:r>
      <w:r>
        <w:rPr>
          <w:rFonts w:hint="eastAsia" w:ascii="Times New Roman" w:hAnsi="Times New Roman" w:cs="Times New Roman" w:eastAsiaTheme="minorEastAsia"/>
          <w:sz w:val="24"/>
          <w:szCs w:val="24"/>
        </w:rPr>
        <w:t>储能</w:t>
      </w:r>
      <w:r>
        <w:rPr>
          <w:rFonts w:ascii="Times New Roman" w:hAnsi="Times New Roman" w:cs="Times New Roman" w:eastAsiaTheme="minorEastAsia"/>
          <w:sz w:val="24"/>
          <w:szCs w:val="24"/>
        </w:rPr>
        <w:t>过程，研究、开发和设计产品、工艺、技术和设备，</w:t>
      </w:r>
      <w:r>
        <w:rPr>
          <w:rFonts w:ascii="Times New Roman" w:hAnsi="Times New Roman" w:cs="Times New Roman" w:eastAsiaTheme="minorEastAsia"/>
          <w:sz w:val="24"/>
          <w:szCs w:val="28"/>
        </w:rPr>
        <w:t>能够在新能源发展实践中，</w:t>
      </w:r>
      <w:r>
        <w:rPr>
          <w:rFonts w:hint="eastAsia" w:ascii="宋体" w:hAnsi="宋体" w:eastAsia="宋体" w:cs="宋体"/>
          <w:sz w:val="24"/>
          <w:szCs w:val="24"/>
        </w:rPr>
        <w:t>遵循社会、文化、公共健康、安全、法律、伦理、环境和可持续发展等方面的要求，保证公共健康和安全；</w:t>
      </w:r>
      <w:r>
        <w:rPr>
          <w:rFonts w:hint="eastAsia" w:ascii="Times New Roman" w:hAnsi="Times New Roman" w:eastAsiaTheme="minorEastAsia"/>
          <w:sz w:val="24"/>
          <w:szCs w:val="24"/>
        </w:rPr>
        <w:t>具有家国情怀和使命担当，具有精益求精的大国工匠精神，成为社会主义事业建设者和接班人。</w:t>
      </w:r>
    </w:p>
    <w:p w14:paraId="701B3A08">
      <w:pPr>
        <w:widowControl w:val="0"/>
        <w:spacing w:line="460" w:lineRule="exact"/>
        <w:ind w:firstLine="482" w:firstLineChars="200"/>
        <w:rPr>
          <w:rFonts w:ascii="Times New Roman" w:hAnsi="Times New Roman" w:eastAsiaTheme="minorEastAsia"/>
          <w:sz w:val="24"/>
          <w:szCs w:val="24"/>
        </w:rPr>
      </w:pPr>
      <w:r>
        <w:rPr>
          <w:rFonts w:ascii="Times New Roman" w:hAnsi="Times New Roman" w:cs="Times New Roman" w:eastAsiaTheme="minorEastAsia"/>
          <w:b/>
          <w:bCs/>
          <w:sz w:val="24"/>
          <w:szCs w:val="28"/>
        </w:rPr>
        <w:t>培养目标4</w:t>
      </w:r>
      <w:r>
        <w:rPr>
          <w:rFonts w:ascii="Times New Roman" w:hAnsi="Times New Roman" w:cs="Times New Roman" w:eastAsiaTheme="minorEastAsia"/>
          <w:sz w:val="24"/>
          <w:szCs w:val="28"/>
        </w:rPr>
        <w:t>（发展能力）：</w:t>
      </w:r>
      <w:r>
        <w:rPr>
          <w:rFonts w:ascii="Times New Roman" w:hAnsi="Times New Roman" w:cs="Times New Roman" w:eastAsiaTheme="minorEastAsia"/>
          <w:sz w:val="24"/>
          <w:szCs w:val="24"/>
        </w:rPr>
        <w:t xml:space="preserve"> </w:t>
      </w:r>
      <w:r>
        <w:rPr>
          <w:rFonts w:hint="eastAsia" w:ascii="Times New Roman" w:hAnsi="Times New Roman" w:eastAsiaTheme="minorEastAsia"/>
          <w:sz w:val="24"/>
          <w:szCs w:val="24"/>
        </w:rPr>
        <w:t>能够主动更新知识，具有自我发展和终身学习的习惯与能力，能够主动适应职业环境的变化和社会发展，能够在多学科背景下的团队中发挥作用，具有国际视野和跨文化交流、合作与竞争能力。</w:t>
      </w:r>
    </w:p>
    <w:p w14:paraId="5B78F7CE">
      <w:pPr>
        <w:kinsoku/>
        <w:spacing w:line="480" w:lineRule="exact"/>
        <w:jc w:val="both"/>
        <w:rPr>
          <w:rFonts w:ascii="Times New Roman" w:hAnsi="Times New Roman" w:eastAsia="黑体" w:cs="Times New Roman"/>
          <w:color w:val="auto"/>
          <w:spacing w:val="4"/>
          <w:sz w:val="28"/>
          <w:szCs w:val="28"/>
        </w:rPr>
      </w:pPr>
      <w:r>
        <w:rPr>
          <w:rFonts w:ascii="Times New Roman" w:hAnsi="Times New Roman" w:eastAsia="黑体" w:cs="Times New Roman"/>
          <w:color w:val="auto"/>
          <w:spacing w:val="4"/>
          <w:sz w:val="28"/>
          <w:szCs w:val="28"/>
        </w:rPr>
        <w:t>三、毕业要求</w:t>
      </w:r>
    </w:p>
    <w:p w14:paraId="134C67D4">
      <w:pPr>
        <w:spacing w:line="480" w:lineRule="exact"/>
        <w:ind w:firstLine="480"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Cs/>
          <w:sz w:val="24"/>
          <w:szCs w:val="24"/>
        </w:rPr>
        <w:t>本专业毕业生应在知识、能力和素质等方面满足如下要求：</w:t>
      </w:r>
    </w:p>
    <w:p w14:paraId="7537DC85">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1. 工程知识</w:t>
      </w:r>
      <w:r>
        <w:rPr>
          <w:rFonts w:ascii="Times New Roman" w:hAnsi="Times New Roman" w:cs="Times New Roman" w:eastAsiaTheme="minorEastAsia"/>
          <w:bCs/>
          <w:sz w:val="24"/>
          <w:szCs w:val="24"/>
        </w:rPr>
        <w:t>：能够将数学、自然科学、工程基础和专业知识用于解决新能源材料与器件相关技术领域复杂工程问题。</w:t>
      </w:r>
    </w:p>
    <w:p w14:paraId="7B13D678">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2. 问题分析</w:t>
      </w:r>
      <w:r>
        <w:rPr>
          <w:rFonts w:ascii="Times New Roman" w:hAnsi="Times New Roman" w:cs="Times New Roman" w:eastAsiaTheme="minorEastAsia"/>
          <w:bCs/>
          <w:sz w:val="24"/>
          <w:szCs w:val="24"/>
        </w:rPr>
        <w:t>：</w:t>
      </w:r>
      <w:r>
        <w:rPr>
          <w:rFonts w:hint="eastAsia" w:ascii="宋体" w:hAnsi="宋体" w:eastAsia="宋体" w:cs="宋体"/>
          <w:bCs/>
          <w:sz w:val="24"/>
          <w:szCs w:val="24"/>
        </w:rPr>
        <w:t>能够应用数学、自然科学和化学工程的基本原理，结合文献研究，识别、表达、分析新型电池与绿色氢能相关的复杂工程问题，综合考虑可持续发展的要求，以获得有效结论。</w:t>
      </w:r>
    </w:p>
    <w:p w14:paraId="44382E22">
      <w:pPr>
        <w:spacing w:line="480" w:lineRule="exact"/>
        <w:ind w:firstLine="482" w:firstLineChars="200"/>
        <w:jc w:val="both"/>
        <w:rPr>
          <w:rFonts w:ascii="宋体" w:hAnsi="宋体" w:eastAsia="宋体" w:cs="宋体"/>
          <w:bCs/>
          <w:sz w:val="24"/>
          <w:szCs w:val="24"/>
        </w:rPr>
      </w:pPr>
      <w:r>
        <w:rPr>
          <w:rFonts w:ascii="Times New Roman" w:hAnsi="Times New Roman" w:cs="Times New Roman" w:eastAsiaTheme="minorEastAsia"/>
          <w:b/>
          <w:sz w:val="24"/>
          <w:szCs w:val="24"/>
        </w:rPr>
        <w:t>3. 设计/开发解决方案</w:t>
      </w:r>
      <w:r>
        <w:rPr>
          <w:rFonts w:ascii="Times New Roman" w:hAnsi="Times New Roman" w:cs="Times New Roman" w:eastAsiaTheme="minorEastAsia"/>
          <w:bCs/>
          <w:sz w:val="24"/>
          <w:szCs w:val="24"/>
        </w:rPr>
        <w:t>：</w:t>
      </w:r>
      <w:r>
        <w:rPr>
          <w:rFonts w:hint="eastAsia" w:ascii="宋体" w:hAnsi="宋体" w:eastAsia="宋体" w:cs="宋体"/>
          <w:bCs/>
          <w:sz w:val="24"/>
          <w:szCs w:val="24"/>
        </w:rPr>
        <w:t>能够针对复杂储能工程问题设计和开发解决方案，设计满足特定需求的新型电池与绿色氢能系统、设备或工艺流程，体现创新性，并从健康、安全与环境、全生命周期成本与净零碳要求、法律与伦理、社会与文化等角度考虑可行性。</w:t>
      </w:r>
    </w:p>
    <w:p w14:paraId="32DC9F0B">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4. 研究</w:t>
      </w:r>
      <w:r>
        <w:rPr>
          <w:rFonts w:hint="eastAsia" w:ascii="Times New Roman" w:hAnsi="Times New Roman" w:eastAsia="宋体" w:cs="Times New Roman"/>
          <w:sz w:val="24"/>
          <w:szCs w:val="24"/>
        </w:rPr>
        <w:t>：</w:t>
      </w:r>
      <w:r>
        <w:rPr>
          <w:rFonts w:hint="eastAsia" w:ascii="宋体" w:hAnsi="宋体" w:eastAsia="宋体" w:cs="宋体"/>
          <w:sz w:val="24"/>
          <w:szCs w:val="24"/>
        </w:rPr>
        <w:t>能够基于科学原理并采用科学方法对复杂储能工程问题进行研究，包括设计实验、实施实验、分析与解释数据，并通过信息综合得到合理有效的结论。</w:t>
      </w:r>
    </w:p>
    <w:p w14:paraId="075B828A">
      <w:pPr>
        <w:spacing w:line="480" w:lineRule="exact"/>
        <w:ind w:firstLine="482" w:firstLineChars="200"/>
        <w:jc w:val="both"/>
        <w:rPr>
          <w:rFonts w:ascii="宋体" w:hAnsi="宋体" w:eastAsia="宋体" w:cs="宋体"/>
          <w:bCs/>
          <w:sz w:val="24"/>
          <w:szCs w:val="24"/>
        </w:rPr>
      </w:pPr>
      <w:r>
        <w:rPr>
          <w:rFonts w:ascii="Times New Roman" w:hAnsi="Times New Roman" w:cs="Times New Roman" w:eastAsiaTheme="minorEastAsia"/>
          <w:b/>
          <w:sz w:val="24"/>
          <w:szCs w:val="24"/>
        </w:rPr>
        <w:t>5. 使用现代工具</w:t>
      </w:r>
      <w:r>
        <w:rPr>
          <w:rFonts w:ascii="Times New Roman" w:hAnsi="Times New Roman" w:cs="Times New Roman" w:eastAsiaTheme="minorEastAsia"/>
          <w:bCs/>
          <w:sz w:val="24"/>
          <w:szCs w:val="24"/>
        </w:rPr>
        <w:t>：能够针对新能源储能系统与器件的设计、开发及相关技术领域的复杂工程问题，</w:t>
      </w:r>
      <w:r>
        <w:rPr>
          <w:rFonts w:hint="eastAsia" w:ascii="宋体" w:hAnsi="宋体" w:eastAsia="宋体" w:cs="宋体"/>
          <w:bCs/>
          <w:sz w:val="24"/>
          <w:szCs w:val="24"/>
        </w:rPr>
        <w:t>开发、选择与使用恰当的技术、资源、现代工程工具和信息技术工具，包括对复杂储能工程问题的预测与模拟，并能够理解其局限性。</w:t>
      </w:r>
    </w:p>
    <w:p w14:paraId="33DECE0C">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6. 工程与可持续发展：</w:t>
      </w:r>
      <w:r>
        <w:rPr>
          <w:rFonts w:hint="eastAsia" w:ascii="宋体" w:hAnsi="宋体" w:eastAsia="宋体" w:cs="宋体"/>
          <w:sz w:val="24"/>
          <w:szCs w:val="24"/>
        </w:rPr>
        <w:t>在解决复杂储能工程问题时，</w:t>
      </w:r>
      <w:r>
        <w:rPr>
          <w:rFonts w:hint="eastAsia" w:ascii="Times New Roman" w:hAnsi="Times New Roman" w:eastAsia="宋体" w:cs="Times New Roman"/>
          <w:sz w:val="24"/>
          <w:szCs w:val="24"/>
        </w:rPr>
        <w:t>能够基于新能源储能材料及器件相关背景知识，</w:t>
      </w:r>
      <w:r>
        <w:rPr>
          <w:rFonts w:hint="eastAsia" w:ascii="宋体" w:hAnsi="宋体" w:eastAsia="宋体" w:cs="宋体"/>
          <w:sz w:val="24"/>
          <w:szCs w:val="24"/>
        </w:rPr>
        <w:t>分析和评价工程实践对健康、安全、环境、法律以及经济和社会可持续发展的影响，并理解应承担的责任</w:t>
      </w:r>
      <w:r>
        <w:rPr>
          <w:rFonts w:hint="eastAsia" w:ascii="Times New Roman" w:hAnsi="Times New Roman" w:eastAsia="宋体" w:cs="Times New Roman"/>
          <w:sz w:val="24"/>
          <w:szCs w:val="24"/>
        </w:rPr>
        <w:t>。</w:t>
      </w:r>
    </w:p>
    <w:p w14:paraId="689B9E9A">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7. 工程伦理和职业规范：</w:t>
      </w:r>
      <w:r>
        <w:rPr>
          <w:rFonts w:hint="eastAsia" w:ascii="Times New Roman" w:hAnsi="Times New Roman" w:eastAsia="宋体" w:cs="Times New Roman"/>
          <w:sz w:val="24"/>
          <w:szCs w:val="24"/>
        </w:rPr>
        <w:t>有工程报国、</w:t>
      </w:r>
      <w:r>
        <w:rPr>
          <w:rFonts w:hint="eastAsia" w:ascii="宋体" w:hAnsi="宋体" w:eastAsia="宋体" w:cs="宋体"/>
          <w:sz w:val="24"/>
          <w:szCs w:val="24"/>
        </w:rPr>
        <w:t>为民造福的意识</w:t>
      </w:r>
      <w:r>
        <w:rPr>
          <w:rFonts w:hint="eastAsia" w:ascii="Times New Roman" w:hAnsi="Times New Roman" w:eastAsia="宋体" w:cs="Times New Roman"/>
          <w:sz w:val="24"/>
          <w:szCs w:val="24"/>
        </w:rPr>
        <w:t>，具有人文社会科学素养、社会责任感，能够理解和应用工程伦理，在电化学储能及电化学器件相关行业工程实践中理解并遵守工程职业道德、规范和相关法律，履行责任。</w:t>
      </w:r>
    </w:p>
    <w:p w14:paraId="3036E857">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8. 个人和团队：</w:t>
      </w:r>
      <w:r>
        <w:rPr>
          <w:rFonts w:ascii="Times New Roman" w:hAnsi="Times New Roman" w:cs="Times New Roman" w:eastAsiaTheme="minorEastAsia"/>
          <w:bCs/>
          <w:sz w:val="24"/>
          <w:szCs w:val="24"/>
        </w:rPr>
        <w:t>能够在多样化、多学科背景下的团队中承担个体、团队成员以及负责人的角色。</w:t>
      </w:r>
    </w:p>
    <w:p w14:paraId="11FBBE67">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9. 沟通：</w:t>
      </w:r>
      <w:r>
        <w:rPr>
          <w:rFonts w:hint="eastAsia" w:ascii="宋体" w:hAnsi="宋体" w:eastAsia="宋体" w:cs="宋体"/>
          <w:bCs/>
          <w:sz w:val="24"/>
          <w:szCs w:val="24"/>
        </w:rPr>
        <w:t>能够就复杂储能工程问题与业界同行及社会公众进行有效沟通和交流，包括撰写报告和设计文稿、陈述发言、清晰表达或回应指令；能够在跨文化背景下进行沟通和交流，理解、尊重语言和文化差异。</w:t>
      </w:r>
    </w:p>
    <w:p w14:paraId="44EF64DE">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10. 项目管理：</w:t>
      </w:r>
      <w:r>
        <w:rPr>
          <w:rFonts w:hint="eastAsia" w:ascii="宋体" w:hAnsi="宋体" w:eastAsia="宋体" w:cs="宋体"/>
          <w:bCs/>
          <w:sz w:val="24"/>
          <w:szCs w:val="24"/>
        </w:rPr>
        <w:t>理解并掌握与新型电池和绿色氢能工程项目相关的管理原理与经济决策方法，并能够在多学科环境中应用。</w:t>
      </w:r>
    </w:p>
    <w:p w14:paraId="2EFD6168">
      <w:pPr>
        <w:spacing w:line="480" w:lineRule="exact"/>
        <w:ind w:firstLine="482" w:firstLineChars="200"/>
        <w:jc w:val="both"/>
        <w:rPr>
          <w:rFonts w:ascii="Times New Roman" w:hAnsi="Times New Roman" w:cs="Times New Roman" w:eastAsiaTheme="minorEastAsia"/>
          <w:bCs/>
          <w:sz w:val="24"/>
          <w:szCs w:val="24"/>
        </w:rPr>
      </w:pPr>
      <w:r>
        <w:rPr>
          <w:rFonts w:ascii="Times New Roman" w:hAnsi="Times New Roman" w:cs="Times New Roman" w:eastAsiaTheme="minorEastAsia"/>
          <w:b/>
          <w:sz w:val="24"/>
          <w:szCs w:val="24"/>
        </w:rPr>
        <w:t>11. 终身学习：</w:t>
      </w:r>
      <w:r>
        <w:rPr>
          <w:rFonts w:ascii="Times New Roman" w:hAnsi="Times New Roman" w:cs="Times New Roman" w:eastAsiaTheme="minorEastAsia"/>
          <w:bCs/>
          <w:sz w:val="24"/>
          <w:szCs w:val="24"/>
        </w:rPr>
        <w:t xml:space="preserve"> </w:t>
      </w:r>
      <w:r>
        <w:rPr>
          <w:rFonts w:hint="eastAsia" w:ascii="宋体" w:hAnsi="宋体" w:eastAsia="宋体" w:cs="宋体"/>
          <w:bCs/>
          <w:sz w:val="24"/>
          <w:szCs w:val="24"/>
        </w:rPr>
        <w:t>具有自主学习、终身学习和批判性思维的意识和能力，能够理解广泛的技术变革对储能工程和社会的影响，适应新技术变革。</w:t>
      </w:r>
    </w:p>
    <w:p w14:paraId="560DB5AD">
      <w:pPr>
        <w:kinsoku/>
        <w:spacing w:line="480" w:lineRule="exact"/>
        <w:jc w:val="both"/>
        <w:rPr>
          <w:rFonts w:ascii="Times New Roman" w:hAnsi="Times New Roman" w:eastAsia="黑体" w:cs="Times New Roman"/>
          <w:spacing w:val="4"/>
          <w:sz w:val="28"/>
          <w:szCs w:val="28"/>
        </w:rPr>
      </w:pPr>
      <w:r>
        <w:rPr>
          <w:rFonts w:ascii="Times New Roman" w:hAnsi="Times New Roman" w:eastAsia="黑体" w:cs="Times New Roman"/>
          <w:spacing w:val="4"/>
          <w:sz w:val="28"/>
          <w:szCs w:val="28"/>
        </w:rPr>
        <w:t>四、毕业要求对培养目标的支撑</w:t>
      </w:r>
    </w:p>
    <w:p w14:paraId="7DC1F320">
      <w:pPr>
        <w:spacing w:after="120" w:afterLines="50" w:line="480" w:lineRule="exact"/>
        <w:ind w:firstLine="480" w:firstLineChars="200"/>
        <w:jc w:val="both"/>
        <w:rPr>
          <w:rFonts w:ascii="Times New Roman" w:hAnsi="Times New Roman" w:eastAsia="宋体" w:cs="Times New Roman"/>
          <w:sz w:val="24"/>
          <w:szCs w:val="24"/>
        </w:rPr>
      </w:pPr>
      <w:r>
        <w:rPr>
          <w:rFonts w:hint="eastAsia" w:ascii="Times New Roman" w:hAnsi="Times New Roman" w:eastAsia="宋体" w:cs="Times New Roman"/>
          <w:sz w:val="24"/>
          <w:szCs w:val="24"/>
        </w:rPr>
        <w:t>为保证本专业学生满足知识、能力和素质的达成，本专业设置了完善的课程体系，其中包括课程理论教学、实验实践教学、实习实训教学、毕业设计</w:t>
      </w:r>
      <w:r>
        <w:rPr>
          <w:rFonts w:ascii="Times New Roman" w:hAnsi="Times New Roman" w:eastAsia="宋体" w:cs="Times New Roman"/>
          <w:sz w:val="24"/>
          <w:szCs w:val="24"/>
        </w:rPr>
        <w:t>/</w:t>
      </w:r>
      <w:r>
        <w:rPr>
          <w:rFonts w:hint="eastAsia" w:ascii="Times New Roman" w:hAnsi="Times New Roman" w:eastAsia="宋体" w:cs="Times New Roman"/>
          <w:sz w:val="24"/>
          <w:szCs w:val="24"/>
        </w:rPr>
        <w:t>论文、专业学科竞赛、创新创业训练项目等教学环节。本专业毕业要求对培养目标的支撑关系见下表。</w:t>
      </w:r>
    </w:p>
    <w:p w14:paraId="5E4591F1">
      <w:pPr>
        <w:spacing w:before="120" w:beforeLines="50" w:line="360" w:lineRule="auto"/>
        <w:ind w:firstLine="482"/>
        <w:jc w:val="center"/>
        <w:rPr>
          <w:rFonts w:ascii="Times New Roman" w:hAnsi="Times New Roman" w:cs="Times New Roman"/>
          <w:b/>
          <w:bCs/>
        </w:rPr>
      </w:pPr>
      <w:r>
        <w:rPr>
          <w:rFonts w:hint="eastAsia" w:ascii="宋体" w:hAnsi="宋体" w:eastAsia="宋体" w:cs="宋体"/>
          <w:b/>
          <w:bCs/>
        </w:rPr>
        <w:t>表</w:t>
      </w:r>
      <w:r>
        <w:rPr>
          <w:rFonts w:ascii="Times New Roman" w:hAnsi="Times New Roman" w:cs="Times New Roman"/>
          <w:b/>
          <w:bCs/>
        </w:rPr>
        <w:t xml:space="preserve">1 </w:t>
      </w:r>
      <w:r>
        <w:rPr>
          <w:rFonts w:hint="eastAsia" w:ascii="宋体" w:hAnsi="宋体" w:eastAsia="宋体" w:cs="宋体"/>
          <w:b/>
          <w:bCs/>
        </w:rPr>
        <w:t>毕业要求对培养目标的支撑表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1782"/>
        <w:gridCol w:w="1782"/>
        <w:gridCol w:w="1782"/>
        <w:gridCol w:w="1782"/>
      </w:tblGrid>
      <w:tr w14:paraId="3255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2DFCC12A">
            <w:pPr>
              <w:spacing w:before="120" w:beforeLines="50" w:line="360" w:lineRule="auto"/>
              <w:jc w:val="center"/>
              <w:rPr>
                <w:rFonts w:ascii="Times New Roman" w:hAnsi="Times New Roman" w:cs="Times New Roman"/>
                <w:bCs/>
              </w:rPr>
            </w:pPr>
          </w:p>
        </w:tc>
        <w:tc>
          <w:tcPr>
            <w:tcW w:w="1782" w:type="dxa"/>
            <w:tcBorders>
              <w:top w:val="single" w:color="auto" w:sz="4" w:space="0"/>
              <w:left w:val="single" w:color="auto" w:sz="4" w:space="0"/>
              <w:bottom w:val="single" w:color="auto" w:sz="4" w:space="0"/>
              <w:right w:val="single" w:color="auto" w:sz="4" w:space="0"/>
            </w:tcBorders>
            <w:vAlign w:val="center"/>
          </w:tcPr>
          <w:p w14:paraId="548B3057">
            <w:pPr>
              <w:spacing w:before="120" w:beforeLines="50" w:line="360" w:lineRule="auto"/>
              <w:jc w:val="center"/>
              <w:rPr>
                <w:rFonts w:ascii="Times New Roman" w:hAnsi="Times New Roman" w:cs="Times New Roman"/>
                <w:b/>
              </w:rPr>
            </w:pPr>
            <w:r>
              <w:rPr>
                <w:rFonts w:hint="eastAsia" w:ascii="宋体" w:hAnsi="宋体" w:eastAsia="宋体" w:cs="宋体"/>
                <w:b/>
              </w:rPr>
              <w:t>培养目标</w:t>
            </w:r>
            <w:r>
              <w:rPr>
                <w:rFonts w:ascii="Times New Roman" w:hAnsi="Times New Roman" w:cs="Times New Roman"/>
                <w:b/>
              </w:rPr>
              <w:t>1</w:t>
            </w:r>
          </w:p>
        </w:tc>
        <w:tc>
          <w:tcPr>
            <w:tcW w:w="1782" w:type="dxa"/>
            <w:tcBorders>
              <w:top w:val="single" w:color="auto" w:sz="4" w:space="0"/>
              <w:left w:val="single" w:color="auto" w:sz="4" w:space="0"/>
              <w:bottom w:val="single" w:color="auto" w:sz="4" w:space="0"/>
              <w:right w:val="single" w:color="auto" w:sz="4" w:space="0"/>
            </w:tcBorders>
            <w:vAlign w:val="center"/>
          </w:tcPr>
          <w:p w14:paraId="7ACA4967">
            <w:pPr>
              <w:spacing w:before="120" w:beforeLines="50" w:line="360" w:lineRule="auto"/>
              <w:jc w:val="center"/>
              <w:rPr>
                <w:rFonts w:ascii="Times New Roman" w:hAnsi="Times New Roman" w:cs="Times New Roman"/>
                <w:b/>
              </w:rPr>
            </w:pPr>
            <w:r>
              <w:rPr>
                <w:rFonts w:hint="eastAsia" w:ascii="宋体" w:hAnsi="宋体" w:eastAsia="宋体" w:cs="宋体"/>
                <w:b/>
              </w:rPr>
              <w:t>培养目标</w:t>
            </w:r>
            <w:r>
              <w:rPr>
                <w:rFonts w:ascii="Times New Roman" w:hAnsi="Times New Roman" w:cs="Times New Roman"/>
                <w:b/>
              </w:rPr>
              <w:t>2</w:t>
            </w:r>
          </w:p>
        </w:tc>
        <w:tc>
          <w:tcPr>
            <w:tcW w:w="1782" w:type="dxa"/>
            <w:tcBorders>
              <w:top w:val="single" w:color="auto" w:sz="4" w:space="0"/>
              <w:left w:val="single" w:color="auto" w:sz="4" w:space="0"/>
              <w:bottom w:val="single" w:color="auto" w:sz="4" w:space="0"/>
              <w:right w:val="single" w:color="auto" w:sz="4" w:space="0"/>
            </w:tcBorders>
            <w:vAlign w:val="center"/>
          </w:tcPr>
          <w:p w14:paraId="3D6EDF6B">
            <w:pPr>
              <w:spacing w:before="120" w:beforeLines="50" w:line="360" w:lineRule="auto"/>
              <w:jc w:val="center"/>
              <w:rPr>
                <w:rFonts w:ascii="Times New Roman" w:hAnsi="Times New Roman" w:cs="Times New Roman"/>
                <w:b/>
              </w:rPr>
            </w:pPr>
            <w:r>
              <w:rPr>
                <w:rFonts w:hint="eastAsia" w:ascii="宋体" w:hAnsi="宋体" w:eastAsia="宋体" w:cs="宋体"/>
                <w:b/>
              </w:rPr>
              <w:t>培养目标</w:t>
            </w:r>
            <w:r>
              <w:rPr>
                <w:rFonts w:ascii="Times New Roman" w:hAnsi="Times New Roman" w:cs="Times New Roman"/>
                <w:b/>
              </w:rPr>
              <w:t>3</w:t>
            </w:r>
          </w:p>
        </w:tc>
        <w:tc>
          <w:tcPr>
            <w:tcW w:w="1782" w:type="dxa"/>
            <w:tcBorders>
              <w:top w:val="single" w:color="auto" w:sz="4" w:space="0"/>
              <w:left w:val="single" w:color="auto" w:sz="4" w:space="0"/>
              <w:bottom w:val="single" w:color="auto" w:sz="4" w:space="0"/>
              <w:right w:val="single" w:color="auto" w:sz="4" w:space="0"/>
            </w:tcBorders>
            <w:vAlign w:val="center"/>
          </w:tcPr>
          <w:p w14:paraId="617DCE08">
            <w:pPr>
              <w:spacing w:before="120" w:beforeLines="50" w:line="360" w:lineRule="auto"/>
              <w:jc w:val="center"/>
              <w:rPr>
                <w:rFonts w:ascii="Times New Roman" w:hAnsi="Times New Roman" w:cs="Times New Roman"/>
                <w:b/>
              </w:rPr>
            </w:pPr>
            <w:r>
              <w:rPr>
                <w:rFonts w:hint="eastAsia" w:ascii="宋体" w:hAnsi="宋体" w:eastAsia="宋体" w:cs="宋体"/>
                <w:b/>
              </w:rPr>
              <w:t>培养目标</w:t>
            </w:r>
            <w:r>
              <w:rPr>
                <w:rFonts w:ascii="Times New Roman" w:hAnsi="Times New Roman" w:cs="Times New Roman"/>
                <w:b/>
              </w:rPr>
              <w:t>4</w:t>
            </w:r>
          </w:p>
        </w:tc>
      </w:tr>
      <w:tr w14:paraId="0CCD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26249153">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1</w:t>
            </w:r>
          </w:p>
        </w:tc>
        <w:tc>
          <w:tcPr>
            <w:tcW w:w="1782" w:type="dxa"/>
            <w:tcBorders>
              <w:top w:val="single" w:color="auto" w:sz="4" w:space="0"/>
              <w:left w:val="single" w:color="auto" w:sz="4" w:space="0"/>
              <w:bottom w:val="single" w:color="auto" w:sz="4" w:space="0"/>
              <w:right w:val="single" w:color="auto" w:sz="4" w:space="0"/>
            </w:tcBorders>
            <w:vAlign w:val="center"/>
          </w:tcPr>
          <w:p w14:paraId="63E7E814">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52BF39AE">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vAlign w:val="center"/>
          </w:tcPr>
          <w:p w14:paraId="0D14B011">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6DB32635">
            <w:pPr>
              <w:spacing w:line="360" w:lineRule="auto"/>
              <w:jc w:val="center"/>
              <w:rPr>
                <w:rFonts w:ascii="Times New Roman" w:hAnsi="Times New Roman" w:cs="Times New Roman"/>
              </w:rPr>
            </w:pPr>
          </w:p>
        </w:tc>
      </w:tr>
      <w:tr w14:paraId="3469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4BA423C5">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2</w:t>
            </w:r>
          </w:p>
        </w:tc>
        <w:tc>
          <w:tcPr>
            <w:tcW w:w="1782" w:type="dxa"/>
            <w:tcBorders>
              <w:top w:val="single" w:color="auto" w:sz="4" w:space="0"/>
              <w:left w:val="single" w:color="auto" w:sz="4" w:space="0"/>
              <w:bottom w:val="single" w:color="auto" w:sz="4" w:space="0"/>
              <w:right w:val="single" w:color="auto" w:sz="4" w:space="0"/>
            </w:tcBorders>
            <w:vAlign w:val="center"/>
          </w:tcPr>
          <w:p w14:paraId="72FD284F">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7500668B">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vAlign w:val="center"/>
          </w:tcPr>
          <w:p w14:paraId="2B6AC87A">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3A99AC0A">
            <w:pPr>
              <w:spacing w:line="360" w:lineRule="auto"/>
              <w:jc w:val="center"/>
              <w:rPr>
                <w:rFonts w:ascii="Times New Roman" w:hAnsi="Times New Roman" w:cs="Times New Roman"/>
              </w:rPr>
            </w:pPr>
          </w:p>
        </w:tc>
      </w:tr>
      <w:tr w14:paraId="5319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59D94404">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3</w:t>
            </w:r>
          </w:p>
        </w:tc>
        <w:tc>
          <w:tcPr>
            <w:tcW w:w="1782" w:type="dxa"/>
            <w:tcBorders>
              <w:top w:val="single" w:color="auto" w:sz="4" w:space="0"/>
              <w:left w:val="single" w:color="auto" w:sz="4" w:space="0"/>
              <w:bottom w:val="single" w:color="auto" w:sz="4" w:space="0"/>
              <w:right w:val="single" w:color="auto" w:sz="4" w:space="0"/>
            </w:tcBorders>
            <w:vAlign w:val="center"/>
          </w:tcPr>
          <w:p w14:paraId="7F1344E3">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2146A6D6">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2E7B28A6">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tcPr>
          <w:p w14:paraId="45D33807">
            <w:pPr>
              <w:spacing w:line="360" w:lineRule="auto"/>
              <w:jc w:val="center"/>
              <w:rPr>
                <w:rFonts w:ascii="Times New Roman" w:hAnsi="Times New Roman" w:cs="Times New Roman"/>
              </w:rPr>
            </w:pPr>
          </w:p>
        </w:tc>
      </w:tr>
      <w:tr w14:paraId="2FEC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0C01F5B0">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4</w:t>
            </w:r>
          </w:p>
        </w:tc>
        <w:tc>
          <w:tcPr>
            <w:tcW w:w="1782" w:type="dxa"/>
            <w:tcBorders>
              <w:top w:val="single" w:color="auto" w:sz="4" w:space="0"/>
              <w:left w:val="single" w:color="auto" w:sz="4" w:space="0"/>
              <w:bottom w:val="single" w:color="auto" w:sz="4" w:space="0"/>
              <w:right w:val="single" w:color="auto" w:sz="4" w:space="0"/>
            </w:tcBorders>
            <w:vAlign w:val="center"/>
          </w:tcPr>
          <w:p w14:paraId="423B22F3">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71B89F16">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vAlign w:val="center"/>
          </w:tcPr>
          <w:p w14:paraId="52BC14E3">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147A3916">
            <w:pPr>
              <w:spacing w:line="360" w:lineRule="auto"/>
              <w:jc w:val="center"/>
              <w:rPr>
                <w:rFonts w:ascii="Times New Roman" w:hAnsi="Times New Roman" w:cs="Times New Roman"/>
              </w:rPr>
            </w:pPr>
          </w:p>
        </w:tc>
      </w:tr>
      <w:tr w14:paraId="0250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26DCD0E1">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5</w:t>
            </w:r>
          </w:p>
        </w:tc>
        <w:tc>
          <w:tcPr>
            <w:tcW w:w="1782" w:type="dxa"/>
            <w:tcBorders>
              <w:top w:val="single" w:color="auto" w:sz="4" w:space="0"/>
              <w:left w:val="single" w:color="auto" w:sz="4" w:space="0"/>
              <w:bottom w:val="single" w:color="auto" w:sz="4" w:space="0"/>
              <w:right w:val="single" w:color="auto" w:sz="4" w:space="0"/>
            </w:tcBorders>
            <w:vAlign w:val="center"/>
          </w:tcPr>
          <w:p w14:paraId="004614C5">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1B97728E">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1C1272C7">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tcPr>
          <w:p w14:paraId="0AC9FF35">
            <w:pPr>
              <w:spacing w:line="360" w:lineRule="auto"/>
              <w:jc w:val="center"/>
              <w:rPr>
                <w:rFonts w:ascii="Times New Roman" w:hAnsi="Times New Roman" w:cs="Times New Roman"/>
              </w:rPr>
            </w:pPr>
          </w:p>
        </w:tc>
      </w:tr>
      <w:tr w14:paraId="581F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5E0A7506">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6</w:t>
            </w:r>
          </w:p>
        </w:tc>
        <w:tc>
          <w:tcPr>
            <w:tcW w:w="1782" w:type="dxa"/>
            <w:tcBorders>
              <w:top w:val="single" w:color="auto" w:sz="4" w:space="0"/>
              <w:left w:val="single" w:color="auto" w:sz="4" w:space="0"/>
              <w:bottom w:val="single" w:color="auto" w:sz="4" w:space="0"/>
              <w:right w:val="single" w:color="auto" w:sz="4" w:space="0"/>
            </w:tcBorders>
            <w:vAlign w:val="center"/>
          </w:tcPr>
          <w:p w14:paraId="52385C38">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5736B68B">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6905E968">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tcPr>
          <w:p w14:paraId="22D81EBD">
            <w:pPr>
              <w:spacing w:line="360" w:lineRule="auto"/>
              <w:jc w:val="center"/>
              <w:rPr>
                <w:rFonts w:ascii="Times New Roman" w:hAnsi="Times New Roman" w:cs="Times New Roman"/>
              </w:rPr>
            </w:pPr>
          </w:p>
        </w:tc>
      </w:tr>
      <w:tr w14:paraId="3FCB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5D78F7F4">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7</w:t>
            </w:r>
          </w:p>
        </w:tc>
        <w:tc>
          <w:tcPr>
            <w:tcW w:w="1782" w:type="dxa"/>
            <w:tcBorders>
              <w:top w:val="single" w:color="auto" w:sz="4" w:space="0"/>
              <w:left w:val="single" w:color="auto" w:sz="4" w:space="0"/>
              <w:bottom w:val="single" w:color="auto" w:sz="4" w:space="0"/>
              <w:right w:val="single" w:color="auto" w:sz="4" w:space="0"/>
            </w:tcBorders>
            <w:vAlign w:val="center"/>
          </w:tcPr>
          <w:p w14:paraId="04CD2615">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vAlign w:val="center"/>
          </w:tcPr>
          <w:p w14:paraId="4D3AB052">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5F8B1892">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763A909F">
            <w:pPr>
              <w:spacing w:line="360" w:lineRule="auto"/>
              <w:jc w:val="center"/>
              <w:rPr>
                <w:rFonts w:ascii="Times New Roman" w:hAnsi="Times New Roman" w:cs="Times New Roman"/>
              </w:rPr>
            </w:pPr>
          </w:p>
        </w:tc>
      </w:tr>
      <w:tr w14:paraId="45FD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6E9A1333">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8</w:t>
            </w:r>
          </w:p>
        </w:tc>
        <w:tc>
          <w:tcPr>
            <w:tcW w:w="1782" w:type="dxa"/>
            <w:tcBorders>
              <w:top w:val="single" w:color="auto" w:sz="4" w:space="0"/>
              <w:left w:val="single" w:color="auto" w:sz="4" w:space="0"/>
              <w:bottom w:val="single" w:color="auto" w:sz="4" w:space="0"/>
              <w:right w:val="single" w:color="auto" w:sz="4" w:space="0"/>
            </w:tcBorders>
            <w:vAlign w:val="center"/>
          </w:tcPr>
          <w:p w14:paraId="27DF825E">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449906EC">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3DAB5D1B">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721FB8AF">
            <w:pPr>
              <w:spacing w:line="360" w:lineRule="auto"/>
              <w:jc w:val="center"/>
              <w:rPr>
                <w:rFonts w:ascii="Times New Roman" w:hAnsi="Times New Roman" w:cs="Times New Roman"/>
              </w:rPr>
            </w:pPr>
            <w:r>
              <w:rPr>
                <w:rFonts w:ascii="Times New Roman" w:hAnsi="Times New Roman" w:cs="Times New Roman" w:eastAsiaTheme="minorEastAsia"/>
              </w:rPr>
              <w:t>√</w:t>
            </w:r>
          </w:p>
        </w:tc>
      </w:tr>
      <w:tr w14:paraId="30A3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195AA890">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9</w:t>
            </w:r>
          </w:p>
        </w:tc>
        <w:tc>
          <w:tcPr>
            <w:tcW w:w="1782" w:type="dxa"/>
            <w:tcBorders>
              <w:top w:val="single" w:color="auto" w:sz="4" w:space="0"/>
              <w:left w:val="single" w:color="auto" w:sz="4" w:space="0"/>
              <w:bottom w:val="single" w:color="auto" w:sz="4" w:space="0"/>
              <w:right w:val="single" w:color="auto" w:sz="4" w:space="0"/>
            </w:tcBorders>
            <w:vAlign w:val="center"/>
          </w:tcPr>
          <w:p w14:paraId="46015003">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3B6769AB">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094D9227">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7FEC8B26">
            <w:pPr>
              <w:spacing w:line="360" w:lineRule="auto"/>
              <w:jc w:val="center"/>
              <w:rPr>
                <w:rFonts w:ascii="Times New Roman" w:hAnsi="Times New Roman" w:cs="Times New Roman"/>
              </w:rPr>
            </w:pPr>
            <w:r>
              <w:rPr>
                <w:rFonts w:ascii="Times New Roman" w:hAnsi="Times New Roman" w:cs="Times New Roman" w:eastAsiaTheme="minorEastAsia"/>
              </w:rPr>
              <w:t>√</w:t>
            </w:r>
          </w:p>
        </w:tc>
      </w:tr>
      <w:tr w14:paraId="62E5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01A9F3E3">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10</w:t>
            </w:r>
          </w:p>
        </w:tc>
        <w:tc>
          <w:tcPr>
            <w:tcW w:w="1782" w:type="dxa"/>
            <w:tcBorders>
              <w:top w:val="single" w:color="auto" w:sz="4" w:space="0"/>
              <w:left w:val="single" w:color="auto" w:sz="4" w:space="0"/>
              <w:bottom w:val="single" w:color="auto" w:sz="4" w:space="0"/>
              <w:right w:val="single" w:color="auto" w:sz="4" w:space="0"/>
            </w:tcBorders>
            <w:vAlign w:val="center"/>
          </w:tcPr>
          <w:p w14:paraId="6FFDF32D">
            <w:pPr>
              <w:spacing w:line="360" w:lineRule="auto"/>
              <w:jc w:val="center"/>
              <w:rPr>
                <w:rFonts w:ascii="Times New Roman" w:hAnsi="Times New Roman" w:cs="Times New Roman"/>
              </w:rPr>
            </w:pPr>
            <w:r>
              <w:rPr>
                <w:rFonts w:ascii="Times New Roman" w:hAnsi="Times New Roman" w:cs="Times New Roman" w:eastAsiaTheme="minorEastAsia"/>
              </w:rPr>
              <w:t>√</w:t>
            </w:r>
          </w:p>
        </w:tc>
        <w:tc>
          <w:tcPr>
            <w:tcW w:w="1782" w:type="dxa"/>
            <w:tcBorders>
              <w:top w:val="single" w:color="auto" w:sz="4" w:space="0"/>
              <w:left w:val="single" w:color="auto" w:sz="4" w:space="0"/>
              <w:bottom w:val="single" w:color="auto" w:sz="4" w:space="0"/>
              <w:right w:val="single" w:color="auto" w:sz="4" w:space="0"/>
            </w:tcBorders>
            <w:vAlign w:val="center"/>
          </w:tcPr>
          <w:p w14:paraId="7C66E986">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1319BFE1">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5DE2DA80">
            <w:pPr>
              <w:spacing w:line="360" w:lineRule="auto"/>
              <w:jc w:val="center"/>
              <w:rPr>
                <w:rFonts w:ascii="Times New Roman" w:hAnsi="Times New Roman" w:cs="Times New Roman"/>
              </w:rPr>
            </w:pPr>
          </w:p>
        </w:tc>
      </w:tr>
      <w:tr w14:paraId="0BB8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Borders>
              <w:top w:val="single" w:color="auto" w:sz="4" w:space="0"/>
              <w:left w:val="single" w:color="auto" w:sz="4" w:space="0"/>
              <w:bottom w:val="single" w:color="auto" w:sz="4" w:space="0"/>
              <w:right w:val="single" w:color="auto" w:sz="4" w:space="0"/>
            </w:tcBorders>
            <w:vAlign w:val="center"/>
          </w:tcPr>
          <w:p w14:paraId="124BE721">
            <w:pPr>
              <w:jc w:val="center"/>
              <w:rPr>
                <w:rFonts w:ascii="Times New Roman" w:hAnsi="Times New Roman" w:cs="Times New Roman"/>
                <w:b/>
              </w:rPr>
            </w:pPr>
            <w:r>
              <w:rPr>
                <w:rFonts w:hint="eastAsia" w:ascii="宋体" w:hAnsi="宋体" w:eastAsia="宋体" w:cs="宋体"/>
                <w:b/>
              </w:rPr>
              <w:t>毕业要求</w:t>
            </w:r>
            <w:r>
              <w:rPr>
                <w:rFonts w:ascii="Times New Roman" w:hAnsi="Times New Roman" w:cs="Times New Roman"/>
                <w:b/>
              </w:rPr>
              <w:t>11</w:t>
            </w:r>
          </w:p>
        </w:tc>
        <w:tc>
          <w:tcPr>
            <w:tcW w:w="1782" w:type="dxa"/>
            <w:tcBorders>
              <w:top w:val="single" w:color="auto" w:sz="4" w:space="0"/>
              <w:left w:val="single" w:color="auto" w:sz="4" w:space="0"/>
              <w:bottom w:val="single" w:color="auto" w:sz="4" w:space="0"/>
              <w:right w:val="single" w:color="auto" w:sz="4" w:space="0"/>
            </w:tcBorders>
            <w:vAlign w:val="center"/>
          </w:tcPr>
          <w:p w14:paraId="04EE9BEF">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50E0C31D">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vAlign w:val="center"/>
          </w:tcPr>
          <w:p w14:paraId="59AA1E94">
            <w:pPr>
              <w:spacing w:line="360" w:lineRule="auto"/>
              <w:jc w:val="center"/>
              <w:rPr>
                <w:rFonts w:ascii="Times New Roman" w:hAnsi="Times New Roman" w:cs="Times New Roman"/>
              </w:rPr>
            </w:pPr>
          </w:p>
        </w:tc>
        <w:tc>
          <w:tcPr>
            <w:tcW w:w="1782" w:type="dxa"/>
            <w:tcBorders>
              <w:top w:val="single" w:color="auto" w:sz="4" w:space="0"/>
              <w:left w:val="single" w:color="auto" w:sz="4" w:space="0"/>
              <w:bottom w:val="single" w:color="auto" w:sz="4" w:space="0"/>
              <w:right w:val="single" w:color="auto" w:sz="4" w:space="0"/>
            </w:tcBorders>
          </w:tcPr>
          <w:p w14:paraId="6E63F4F2">
            <w:pPr>
              <w:spacing w:line="360" w:lineRule="auto"/>
              <w:jc w:val="center"/>
              <w:rPr>
                <w:rFonts w:ascii="Times New Roman" w:hAnsi="Times New Roman" w:cs="Times New Roman"/>
              </w:rPr>
            </w:pPr>
            <w:r>
              <w:rPr>
                <w:rFonts w:ascii="Times New Roman" w:hAnsi="Times New Roman" w:cs="Times New Roman" w:eastAsiaTheme="minorEastAsia"/>
              </w:rPr>
              <w:t>√</w:t>
            </w:r>
          </w:p>
        </w:tc>
      </w:tr>
    </w:tbl>
    <w:p w14:paraId="5F461135">
      <w:pPr>
        <w:kinsoku/>
        <w:ind w:firstLine="567"/>
        <w:jc w:val="both"/>
        <w:rPr>
          <w:rFonts w:ascii="Times New Roman" w:hAnsi="Times New Roman" w:eastAsia="黑体" w:cs="Times New Roman"/>
          <w:spacing w:val="4"/>
          <w:sz w:val="28"/>
          <w:szCs w:val="28"/>
        </w:rPr>
      </w:pPr>
    </w:p>
    <w:p w14:paraId="032DC764">
      <w:pPr>
        <w:kinsoku/>
        <w:spacing w:line="560" w:lineRule="exact"/>
        <w:jc w:val="both"/>
        <w:rPr>
          <w:rFonts w:ascii="Times New Roman" w:hAnsi="Times New Roman" w:eastAsia="黑体" w:cs="Times New Roman"/>
          <w:spacing w:val="4"/>
          <w:sz w:val="28"/>
          <w:szCs w:val="28"/>
        </w:rPr>
      </w:pPr>
      <w:r>
        <w:rPr>
          <w:rFonts w:ascii="Times New Roman" w:hAnsi="Times New Roman" w:eastAsia="黑体" w:cs="Times New Roman"/>
          <w:spacing w:val="4"/>
          <w:sz w:val="28"/>
          <w:szCs w:val="28"/>
        </w:rPr>
        <w:t>五、主干学科</w:t>
      </w:r>
    </w:p>
    <w:p w14:paraId="62F6C4FC">
      <w:pPr>
        <w:kinsoku/>
        <w:spacing w:line="560" w:lineRule="exact"/>
        <w:ind w:firstLine="480" w:firstLineChars="200"/>
        <w:jc w:val="both"/>
        <w:rPr>
          <w:rFonts w:ascii="宋体" w:hAnsi="宋体" w:eastAsia="宋体" w:cs="宋体"/>
          <w:sz w:val="24"/>
          <w:szCs w:val="24"/>
        </w:rPr>
      </w:pPr>
      <w:r>
        <w:rPr>
          <w:rFonts w:hint="eastAsia" w:ascii="宋体" w:hAnsi="宋体" w:eastAsia="宋体" w:cs="宋体"/>
          <w:sz w:val="24"/>
          <w:szCs w:val="24"/>
        </w:rPr>
        <w:t>本专业依托的主干学科为材料科学与工程、化学工程与技术。</w:t>
      </w:r>
    </w:p>
    <w:p w14:paraId="52DFD038">
      <w:pPr>
        <w:kinsoku/>
        <w:spacing w:line="560" w:lineRule="exact"/>
        <w:jc w:val="both"/>
        <w:rPr>
          <w:rFonts w:ascii="Times New Roman" w:hAnsi="Times New Roman" w:eastAsia="黑体" w:cs="Times New Roman"/>
          <w:color w:val="auto"/>
          <w:spacing w:val="4"/>
          <w:sz w:val="28"/>
          <w:szCs w:val="28"/>
        </w:rPr>
      </w:pPr>
      <w:r>
        <w:rPr>
          <w:rFonts w:ascii="Times New Roman" w:hAnsi="Times New Roman" w:eastAsia="黑体" w:cs="Times New Roman"/>
          <w:color w:val="auto"/>
          <w:spacing w:val="4"/>
          <w:sz w:val="28"/>
          <w:szCs w:val="28"/>
        </w:rPr>
        <w:t>六、毕业条件及授予学士学位条件</w:t>
      </w:r>
    </w:p>
    <w:p w14:paraId="6F43CD35">
      <w:pPr>
        <w:kinsoku/>
        <w:spacing w:line="560" w:lineRule="exact"/>
        <w:ind w:firstLine="544" w:firstLineChars="200"/>
        <w:jc w:val="both"/>
        <w:rPr>
          <w:rFonts w:ascii="Times New Roman" w:hAnsi="Times New Roman" w:eastAsia="宋体" w:cs="Times New Roman"/>
          <w:spacing w:val="3"/>
          <w:sz w:val="24"/>
          <w:szCs w:val="24"/>
        </w:rPr>
      </w:pPr>
      <w:r>
        <w:rPr>
          <w:rFonts w:hint="eastAsia" w:ascii="Times New Roman" w:hAnsi="Times New Roman" w:eastAsia="宋体" w:cs="Times New Roman"/>
          <w:spacing w:val="16"/>
          <w:sz w:val="24"/>
          <w:szCs w:val="24"/>
        </w:rPr>
        <w:t>达到学校对本科毕业生提出的德、智、体、美、劳等方面的要求，完成培养方案课程体系中各教学环节的学习，最低修满150学分，</w:t>
      </w:r>
      <w:r>
        <w:rPr>
          <w:rFonts w:hint="eastAsia" w:ascii="Times New Roman" w:hAnsi="Times New Roman" w:eastAsia="宋体" w:cs="Times New Roman"/>
          <w:spacing w:val="7"/>
          <w:sz w:val="24"/>
          <w:szCs w:val="24"/>
        </w:rPr>
        <w:t>毕业设计（论文）</w:t>
      </w:r>
      <w:r>
        <w:rPr>
          <w:rFonts w:hint="eastAsia" w:ascii="Times New Roman" w:hAnsi="Times New Roman" w:eastAsia="宋体" w:cs="Times New Roman"/>
          <w:spacing w:val="16"/>
          <w:sz w:val="24"/>
          <w:szCs w:val="24"/>
        </w:rPr>
        <w:t>答辩合格，方可准予毕业。符合天津科技大学学士学位授予条件，可授予学士学位。</w:t>
      </w:r>
    </w:p>
    <w:p w14:paraId="7ACEBECA">
      <w:pPr>
        <w:kinsoku/>
        <w:spacing w:line="560" w:lineRule="exact"/>
        <w:ind w:firstLine="494"/>
        <w:jc w:val="center"/>
        <w:rPr>
          <w:rFonts w:ascii="Times New Roman" w:hAnsi="Times New Roman" w:eastAsia="黑体" w:cs="Times New Roman"/>
          <w:spacing w:val="7"/>
          <w:sz w:val="24"/>
          <w:szCs w:val="22"/>
        </w:rPr>
      </w:pPr>
      <w:r>
        <w:rPr>
          <w:rFonts w:ascii="Times New Roman" w:hAnsi="Times New Roman" w:eastAsia="黑体" w:cs="Times New Roman"/>
          <w:spacing w:val="7"/>
          <w:sz w:val="24"/>
          <w:szCs w:val="22"/>
        </w:rPr>
        <w:t>课程学时学分分配</w:t>
      </w:r>
    </w:p>
    <w:p w14:paraId="41D56AEC">
      <w:pPr>
        <w:kinsoku/>
        <w:spacing w:line="560" w:lineRule="exact"/>
        <w:ind w:firstLine="494"/>
        <w:jc w:val="center"/>
        <w:rPr>
          <w:rFonts w:ascii="Times New Roman" w:hAnsi="Times New Roman" w:eastAsia="黑体" w:cs="Times New Roman"/>
          <w:spacing w:val="7"/>
          <w:sz w:val="24"/>
          <w:szCs w:val="2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116"/>
        <w:gridCol w:w="1392"/>
        <w:gridCol w:w="852"/>
        <w:gridCol w:w="1104"/>
        <w:gridCol w:w="959"/>
        <w:gridCol w:w="1146"/>
        <w:gridCol w:w="1000"/>
        <w:gridCol w:w="1005"/>
      </w:tblGrid>
      <w:tr w14:paraId="6018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223" w:type="dxa"/>
            <w:gridSpan w:val="3"/>
            <w:vMerge w:val="restart"/>
            <w:vAlign w:val="center"/>
          </w:tcPr>
          <w:p w14:paraId="6A89C2F2">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课程类别</w:t>
            </w:r>
          </w:p>
        </w:tc>
        <w:tc>
          <w:tcPr>
            <w:tcW w:w="852" w:type="dxa"/>
            <w:vMerge w:val="restart"/>
            <w:vAlign w:val="center"/>
          </w:tcPr>
          <w:p w14:paraId="42089F05">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学分</w:t>
            </w:r>
          </w:p>
        </w:tc>
        <w:tc>
          <w:tcPr>
            <w:tcW w:w="1104" w:type="dxa"/>
            <w:vMerge w:val="restart"/>
            <w:vAlign w:val="center"/>
          </w:tcPr>
          <w:p w14:paraId="5FC96C3D">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占总学分比例（</w:t>
            </w:r>
            <w:r>
              <w:rPr>
                <w:rFonts w:hint="eastAsia"/>
                <w:b/>
                <w:bCs/>
                <w:kern w:val="2"/>
              </w:rPr>
              <w:t>%</w:t>
            </w:r>
            <w:r>
              <w:rPr>
                <w:rFonts w:hint="eastAsia" w:ascii="宋体" w:hAnsi="宋体" w:eastAsia="宋体" w:cs="宋体"/>
                <w:b/>
                <w:bCs/>
                <w:kern w:val="2"/>
              </w:rPr>
              <w:t>）</w:t>
            </w:r>
          </w:p>
        </w:tc>
        <w:tc>
          <w:tcPr>
            <w:tcW w:w="959" w:type="dxa"/>
            <w:vMerge w:val="restart"/>
            <w:vAlign w:val="center"/>
          </w:tcPr>
          <w:p w14:paraId="4D4A4FCE">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学时</w:t>
            </w:r>
          </w:p>
        </w:tc>
        <w:tc>
          <w:tcPr>
            <w:tcW w:w="3151" w:type="dxa"/>
            <w:gridSpan w:val="3"/>
            <w:vAlign w:val="center"/>
          </w:tcPr>
          <w:p w14:paraId="63AF889A">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其中实践教学</w:t>
            </w:r>
          </w:p>
        </w:tc>
      </w:tr>
      <w:tr w14:paraId="07E3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gridSpan w:val="3"/>
            <w:vMerge w:val="continue"/>
            <w:vAlign w:val="center"/>
          </w:tcPr>
          <w:p w14:paraId="6F0AD03B">
            <w:pPr>
              <w:kinsoku/>
              <w:jc w:val="center"/>
              <w:rPr>
                <w:rFonts w:ascii="Times New Roman" w:hAnsi="Times New Roman" w:eastAsia="黑体" w:cs="Times New Roman"/>
                <w:spacing w:val="7"/>
                <w:kern w:val="2"/>
                <w:sz w:val="24"/>
                <w:szCs w:val="22"/>
              </w:rPr>
            </w:pPr>
          </w:p>
        </w:tc>
        <w:tc>
          <w:tcPr>
            <w:tcW w:w="852" w:type="dxa"/>
            <w:vMerge w:val="continue"/>
            <w:vAlign w:val="center"/>
          </w:tcPr>
          <w:p w14:paraId="0CE34CF7">
            <w:pPr>
              <w:kinsoku/>
              <w:jc w:val="center"/>
              <w:rPr>
                <w:rFonts w:ascii="Times New Roman" w:hAnsi="Times New Roman" w:eastAsia="黑体" w:cs="Times New Roman"/>
                <w:spacing w:val="7"/>
                <w:kern w:val="2"/>
                <w:sz w:val="24"/>
                <w:szCs w:val="22"/>
              </w:rPr>
            </w:pPr>
          </w:p>
        </w:tc>
        <w:tc>
          <w:tcPr>
            <w:tcW w:w="1104" w:type="dxa"/>
            <w:vMerge w:val="continue"/>
            <w:vAlign w:val="center"/>
          </w:tcPr>
          <w:p w14:paraId="070C65A4">
            <w:pPr>
              <w:kinsoku/>
              <w:jc w:val="center"/>
              <w:rPr>
                <w:rFonts w:ascii="Times New Roman" w:hAnsi="Times New Roman" w:eastAsia="黑体" w:cs="Times New Roman"/>
                <w:spacing w:val="7"/>
                <w:kern w:val="2"/>
                <w:sz w:val="24"/>
                <w:szCs w:val="22"/>
              </w:rPr>
            </w:pPr>
          </w:p>
        </w:tc>
        <w:tc>
          <w:tcPr>
            <w:tcW w:w="959" w:type="dxa"/>
            <w:vMerge w:val="continue"/>
            <w:vAlign w:val="center"/>
          </w:tcPr>
          <w:p w14:paraId="01A40A1E">
            <w:pPr>
              <w:kinsoku/>
              <w:jc w:val="center"/>
              <w:rPr>
                <w:rFonts w:ascii="Times New Roman" w:hAnsi="Times New Roman" w:eastAsia="黑体" w:cs="Times New Roman"/>
                <w:spacing w:val="7"/>
                <w:kern w:val="2"/>
                <w:sz w:val="24"/>
                <w:szCs w:val="22"/>
              </w:rPr>
            </w:pPr>
          </w:p>
        </w:tc>
        <w:tc>
          <w:tcPr>
            <w:tcW w:w="1146" w:type="dxa"/>
            <w:vAlign w:val="center"/>
          </w:tcPr>
          <w:p w14:paraId="0D24C398">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课内实验和非专业实践学分</w:t>
            </w:r>
          </w:p>
        </w:tc>
        <w:tc>
          <w:tcPr>
            <w:tcW w:w="1000" w:type="dxa"/>
            <w:vAlign w:val="center"/>
          </w:tcPr>
          <w:p w14:paraId="56705584">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专业性单独实验课程学分</w:t>
            </w:r>
          </w:p>
        </w:tc>
        <w:tc>
          <w:tcPr>
            <w:tcW w:w="1005" w:type="dxa"/>
            <w:vAlign w:val="center"/>
          </w:tcPr>
          <w:p w14:paraId="2E8D903E">
            <w:pPr>
              <w:kinsoku/>
              <w:jc w:val="center"/>
              <w:rPr>
                <w:rFonts w:ascii="Times New Roman" w:hAnsi="Times New Roman" w:eastAsia="黑体" w:cs="Times New Roman"/>
                <w:spacing w:val="7"/>
                <w:kern w:val="2"/>
                <w:sz w:val="24"/>
                <w:szCs w:val="22"/>
              </w:rPr>
            </w:pPr>
            <w:r>
              <w:rPr>
                <w:rFonts w:hint="eastAsia" w:ascii="宋体" w:hAnsi="宋体" w:eastAsia="宋体" w:cs="宋体"/>
                <w:b/>
                <w:bCs/>
                <w:kern w:val="2"/>
              </w:rPr>
              <w:t>专业性实践及集中实践学分</w:t>
            </w:r>
          </w:p>
        </w:tc>
      </w:tr>
      <w:tr w14:paraId="2692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831" w:type="dxa"/>
            <w:gridSpan w:val="2"/>
            <w:vMerge w:val="restart"/>
            <w:vAlign w:val="center"/>
          </w:tcPr>
          <w:p w14:paraId="6595D2E8">
            <w:pPr>
              <w:kinsoku/>
              <w:jc w:val="center"/>
              <w:rPr>
                <w:rFonts w:ascii="宋体" w:hAnsi="宋体" w:eastAsia="宋体" w:cs="宋体"/>
                <w:bCs/>
                <w:kern w:val="2"/>
              </w:rPr>
            </w:pPr>
            <w:r>
              <w:rPr>
                <w:rFonts w:hint="eastAsia" w:ascii="宋体" w:hAnsi="宋体" w:eastAsia="宋体" w:cs="宋体"/>
                <w:bCs/>
                <w:kern w:val="2"/>
              </w:rPr>
              <w:t>人文社会科学类通识教育课程</w:t>
            </w:r>
          </w:p>
        </w:tc>
        <w:tc>
          <w:tcPr>
            <w:tcW w:w="1392" w:type="dxa"/>
            <w:vAlign w:val="center"/>
          </w:tcPr>
          <w:p w14:paraId="3FC8EE44">
            <w:pPr>
              <w:kinsoku/>
              <w:jc w:val="center"/>
              <w:rPr>
                <w:rFonts w:ascii="宋体" w:hAnsi="宋体" w:eastAsia="宋体" w:cs="宋体"/>
                <w:bCs/>
                <w:kern w:val="2"/>
              </w:rPr>
            </w:pPr>
            <w:r>
              <w:rPr>
                <w:rFonts w:hint="eastAsia" w:ascii="宋体" w:hAnsi="宋体" w:eastAsia="宋体" w:cs="宋体"/>
                <w:bCs/>
                <w:kern w:val="2"/>
              </w:rPr>
              <w:t>必修</w:t>
            </w:r>
          </w:p>
        </w:tc>
        <w:tc>
          <w:tcPr>
            <w:tcW w:w="852" w:type="dxa"/>
            <w:vAlign w:val="center"/>
          </w:tcPr>
          <w:p w14:paraId="1A697455">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37</w:t>
            </w:r>
          </w:p>
        </w:tc>
        <w:tc>
          <w:tcPr>
            <w:tcW w:w="1104" w:type="dxa"/>
            <w:vAlign w:val="center"/>
          </w:tcPr>
          <w:p w14:paraId="5AA09B3F">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24.67%</w:t>
            </w:r>
          </w:p>
        </w:tc>
        <w:tc>
          <w:tcPr>
            <w:tcW w:w="959" w:type="dxa"/>
            <w:vAlign w:val="center"/>
          </w:tcPr>
          <w:p w14:paraId="5E70ACD5">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704+2W</w:t>
            </w:r>
          </w:p>
        </w:tc>
        <w:tc>
          <w:tcPr>
            <w:tcW w:w="1146" w:type="dxa"/>
            <w:vAlign w:val="center"/>
          </w:tcPr>
          <w:p w14:paraId="23A34544">
            <w:pPr>
              <w:kinsoku/>
              <w:jc w:val="center"/>
              <w:rPr>
                <w:rFonts w:hint="default" w:ascii="Times New Roman" w:hAnsi="Times New Roman" w:eastAsia="黑体" w:cs="Times New Roman"/>
                <w:spacing w:val="7"/>
                <w:kern w:val="2"/>
                <w:sz w:val="24"/>
                <w:szCs w:val="22"/>
                <w:lang w:val="en-US" w:eastAsia="zh-CN"/>
              </w:rPr>
            </w:pPr>
            <w:r>
              <w:rPr>
                <w:rFonts w:hint="eastAsia" w:ascii="Times New Roman" w:hAnsi="Times New Roman" w:eastAsia="黑体" w:cs="Times New Roman"/>
                <w:spacing w:val="7"/>
                <w:kern w:val="2"/>
                <w:sz w:val="24"/>
                <w:szCs w:val="22"/>
                <w:lang w:val="en-US" w:eastAsia="zh-CN"/>
              </w:rPr>
              <w:t>11</w:t>
            </w:r>
          </w:p>
        </w:tc>
        <w:tc>
          <w:tcPr>
            <w:tcW w:w="1000" w:type="dxa"/>
            <w:vAlign w:val="center"/>
          </w:tcPr>
          <w:p w14:paraId="49A50C08">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vAlign w:val="center"/>
          </w:tcPr>
          <w:p w14:paraId="5BCB6FF0">
            <w:pPr>
              <w:kinsoku/>
              <w:jc w:val="center"/>
              <w:rPr>
                <w:rFonts w:ascii="Times New Roman" w:hAnsi="Times New Roman" w:eastAsia="黑体" w:cs="Times New Roman"/>
                <w:spacing w:val="7"/>
                <w:kern w:val="2"/>
                <w:sz w:val="24"/>
                <w:szCs w:val="22"/>
              </w:rPr>
            </w:pPr>
            <w:r>
              <w:rPr>
                <w:rFonts w:hint="eastAsia" w:ascii="Times New Roman" w:hAnsi="Times New Roman" w:eastAsia="宋体" w:cs="Times New Roman"/>
                <w:kern w:val="2"/>
                <w:lang w:val="en-US" w:eastAsia="zh-CN"/>
              </w:rPr>
              <w:t>2</w:t>
            </w:r>
            <w:r>
              <w:rPr>
                <w:rFonts w:ascii="Times New Roman" w:hAnsi="Times New Roman" w:cs="Times New Roman"/>
                <w:kern w:val="2"/>
              </w:rPr>
              <w:t>　</w:t>
            </w:r>
          </w:p>
        </w:tc>
      </w:tr>
      <w:tr w14:paraId="67FF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831" w:type="dxa"/>
            <w:gridSpan w:val="2"/>
            <w:vMerge w:val="continue"/>
            <w:vAlign w:val="center"/>
          </w:tcPr>
          <w:p w14:paraId="110692CD">
            <w:pPr>
              <w:kinsoku/>
              <w:jc w:val="center"/>
              <w:rPr>
                <w:rFonts w:ascii="宋体" w:hAnsi="宋体" w:eastAsia="宋体" w:cs="宋体"/>
                <w:bCs/>
                <w:kern w:val="2"/>
              </w:rPr>
            </w:pPr>
          </w:p>
        </w:tc>
        <w:tc>
          <w:tcPr>
            <w:tcW w:w="1392" w:type="dxa"/>
            <w:vAlign w:val="center"/>
          </w:tcPr>
          <w:p w14:paraId="443A6F0E">
            <w:pPr>
              <w:kinsoku/>
              <w:jc w:val="center"/>
              <w:rPr>
                <w:rFonts w:ascii="宋体" w:hAnsi="宋体" w:eastAsia="宋体" w:cs="宋体"/>
                <w:bCs/>
                <w:kern w:val="2"/>
              </w:rPr>
            </w:pPr>
            <w:r>
              <w:rPr>
                <w:rFonts w:hint="eastAsia" w:ascii="宋体" w:hAnsi="宋体" w:eastAsia="宋体" w:cs="宋体"/>
                <w:bCs/>
                <w:kern w:val="2"/>
              </w:rPr>
              <w:t>个性化选修</w:t>
            </w:r>
          </w:p>
        </w:tc>
        <w:tc>
          <w:tcPr>
            <w:tcW w:w="852" w:type="dxa"/>
            <w:vAlign w:val="center"/>
          </w:tcPr>
          <w:p w14:paraId="10C348DA">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6</w:t>
            </w:r>
          </w:p>
        </w:tc>
        <w:tc>
          <w:tcPr>
            <w:tcW w:w="1104" w:type="dxa"/>
            <w:vAlign w:val="center"/>
          </w:tcPr>
          <w:p w14:paraId="2ECE81BA">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4.0%</w:t>
            </w:r>
          </w:p>
        </w:tc>
        <w:tc>
          <w:tcPr>
            <w:tcW w:w="959" w:type="dxa"/>
            <w:vAlign w:val="center"/>
          </w:tcPr>
          <w:p w14:paraId="43538EB1">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96</w:t>
            </w:r>
          </w:p>
        </w:tc>
        <w:tc>
          <w:tcPr>
            <w:tcW w:w="1146" w:type="dxa"/>
            <w:vAlign w:val="center"/>
          </w:tcPr>
          <w:p w14:paraId="7795F922">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4F838F94">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vAlign w:val="center"/>
          </w:tcPr>
          <w:p w14:paraId="0527EEC5">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r>
      <w:tr w14:paraId="234F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gridSpan w:val="2"/>
            <w:vAlign w:val="center"/>
          </w:tcPr>
          <w:p w14:paraId="7465B896">
            <w:pPr>
              <w:kinsoku/>
              <w:jc w:val="center"/>
              <w:rPr>
                <w:rFonts w:ascii="宋体" w:hAnsi="宋体" w:eastAsia="宋体" w:cs="宋体"/>
                <w:bCs/>
                <w:kern w:val="2"/>
              </w:rPr>
            </w:pPr>
            <w:r>
              <w:rPr>
                <w:rFonts w:hint="eastAsia" w:ascii="宋体" w:hAnsi="宋体" w:eastAsia="宋体" w:cs="宋体"/>
                <w:bCs/>
                <w:kern w:val="2"/>
              </w:rPr>
              <w:t>数学与自然科学类课程</w:t>
            </w:r>
          </w:p>
        </w:tc>
        <w:tc>
          <w:tcPr>
            <w:tcW w:w="1392" w:type="dxa"/>
            <w:vAlign w:val="center"/>
          </w:tcPr>
          <w:p w14:paraId="7D6757F0">
            <w:pPr>
              <w:kinsoku/>
              <w:jc w:val="center"/>
              <w:rPr>
                <w:rFonts w:ascii="宋体" w:hAnsi="宋体" w:eastAsia="宋体" w:cs="宋体"/>
                <w:bCs/>
                <w:kern w:val="2"/>
              </w:rPr>
            </w:pPr>
            <w:r>
              <w:rPr>
                <w:rFonts w:hint="eastAsia" w:ascii="宋体" w:hAnsi="宋体" w:eastAsia="宋体" w:cs="宋体"/>
                <w:bCs/>
                <w:kern w:val="2"/>
              </w:rPr>
              <w:t>必修</w:t>
            </w:r>
          </w:p>
        </w:tc>
        <w:tc>
          <w:tcPr>
            <w:tcW w:w="852" w:type="dxa"/>
            <w:vAlign w:val="center"/>
          </w:tcPr>
          <w:p w14:paraId="00A57F5D">
            <w:pPr>
              <w:kinsoku/>
              <w:jc w:val="center"/>
              <w:rPr>
                <w:rFonts w:hint="eastAsia" w:ascii="Times New Roman" w:hAnsi="Times New Roman" w:eastAsia="宋体" w:cs="Times New Roman"/>
                <w:spacing w:val="7"/>
                <w:kern w:val="2"/>
                <w:sz w:val="24"/>
                <w:szCs w:val="22"/>
                <w:lang w:eastAsia="zh-CN"/>
              </w:rPr>
            </w:pPr>
            <w:r>
              <w:rPr>
                <w:rFonts w:ascii="Times New Roman" w:hAnsi="Times New Roman" w:cs="Times New Roman"/>
                <w:kern w:val="2"/>
              </w:rPr>
              <w:t>2</w:t>
            </w:r>
            <w:r>
              <w:rPr>
                <w:rFonts w:hint="eastAsia" w:ascii="Times New Roman" w:hAnsi="Times New Roman" w:eastAsia="宋体" w:cs="Times New Roman"/>
                <w:kern w:val="2"/>
                <w:lang w:val="en-US" w:eastAsia="zh-CN"/>
              </w:rPr>
              <w:t>5</w:t>
            </w:r>
          </w:p>
        </w:tc>
        <w:tc>
          <w:tcPr>
            <w:tcW w:w="1104" w:type="dxa"/>
            <w:vAlign w:val="center"/>
          </w:tcPr>
          <w:p w14:paraId="6813B8EC">
            <w:pPr>
              <w:widowControl w:val="0"/>
              <w:kinsoku/>
              <w:autoSpaceDE/>
              <w:autoSpaceDN/>
              <w:adjustRightInd/>
              <w:snapToGrid/>
              <w:spacing w:line="240" w:lineRule="exact"/>
              <w:jc w:val="center"/>
              <w:textAlignment w:val="auto"/>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color w:val="auto"/>
                <w:lang w:val="en-US" w:eastAsia="zh-CN"/>
              </w:rPr>
              <w:t>16.67%</w:t>
            </w:r>
          </w:p>
        </w:tc>
        <w:tc>
          <w:tcPr>
            <w:tcW w:w="959" w:type="dxa"/>
            <w:vAlign w:val="center"/>
          </w:tcPr>
          <w:p w14:paraId="57AA2108">
            <w:pPr>
              <w:widowControl w:val="0"/>
              <w:kinsoku/>
              <w:autoSpaceDE/>
              <w:autoSpaceDN/>
              <w:adjustRightInd/>
              <w:snapToGrid/>
              <w:spacing w:line="240" w:lineRule="exact"/>
              <w:jc w:val="center"/>
              <w:textAlignment w:val="auto"/>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color w:val="auto"/>
                <w:lang w:val="en-US" w:eastAsia="zh-CN"/>
              </w:rPr>
              <w:t>432</w:t>
            </w:r>
          </w:p>
        </w:tc>
        <w:tc>
          <w:tcPr>
            <w:tcW w:w="1146" w:type="dxa"/>
            <w:vAlign w:val="center"/>
          </w:tcPr>
          <w:p w14:paraId="34C21968">
            <w:pPr>
              <w:kinsoku/>
              <w:jc w:val="center"/>
              <w:rPr>
                <w:rFonts w:ascii="Times New Roman" w:hAnsi="Times New Roman" w:eastAsia="黑体" w:cs="Times New Roman"/>
                <w:spacing w:val="7"/>
                <w:kern w:val="2"/>
                <w:sz w:val="24"/>
                <w:szCs w:val="22"/>
              </w:rPr>
            </w:pPr>
          </w:p>
        </w:tc>
        <w:tc>
          <w:tcPr>
            <w:tcW w:w="1000" w:type="dxa"/>
            <w:vAlign w:val="center"/>
          </w:tcPr>
          <w:p w14:paraId="15557B08">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2</w:t>
            </w:r>
          </w:p>
        </w:tc>
        <w:tc>
          <w:tcPr>
            <w:tcW w:w="1005" w:type="dxa"/>
            <w:vAlign w:val="center"/>
          </w:tcPr>
          <w:p w14:paraId="0B5DA9FE">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r>
      <w:tr w14:paraId="4432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31" w:type="dxa"/>
            <w:gridSpan w:val="2"/>
            <w:vAlign w:val="center"/>
          </w:tcPr>
          <w:p w14:paraId="1BFAFA5B">
            <w:pPr>
              <w:widowControl w:val="0"/>
              <w:kinsoku/>
              <w:autoSpaceDE/>
              <w:autoSpaceDN/>
              <w:adjustRightInd/>
              <w:snapToGrid/>
              <w:spacing w:line="240" w:lineRule="exact"/>
              <w:jc w:val="center"/>
              <w:textAlignment w:val="auto"/>
              <w:rPr>
                <w:rFonts w:hint="eastAsia" w:ascii="宋体" w:hAnsi="宋体" w:eastAsia="宋体" w:cs="宋体"/>
                <w:bCs/>
                <w:kern w:val="2"/>
              </w:rPr>
            </w:pPr>
            <w:r>
              <w:rPr>
                <w:rFonts w:hint="eastAsia" w:ascii="宋体" w:hAnsi="宋体" w:cs="宋体"/>
                <w:bCs/>
                <w:lang w:val="en-US" w:eastAsia="zh-CN"/>
              </w:rPr>
              <w:t>AI类课程</w:t>
            </w:r>
          </w:p>
        </w:tc>
        <w:tc>
          <w:tcPr>
            <w:tcW w:w="1392" w:type="dxa"/>
            <w:vAlign w:val="center"/>
          </w:tcPr>
          <w:p w14:paraId="0AF54F7A">
            <w:pPr>
              <w:widowControl w:val="0"/>
              <w:kinsoku/>
              <w:autoSpaceDE/>
              <w:autoSpaceDN/>
              <w:adjustRightInd/>
              <w:snapToGrid/>
              <w:spacing w:line="240" w:lineRule="exact"/>
              <w:jc w:val="center"/>
              <w:textAlignment w:val="auto"/>
              <w:rPr>
                <w:rFonts w:hint="eastAsia" w:ascii="宋体" w:hAnsi="宋体" w:eastAsia="宋体" w:cs="宋体"/>
                <w:bCs/>
                <w:kern w:val="2"/>
              </w:rPr>
            </w:pPr>
            <w:r>
              <w:rPr>
                <w:rFonts w:hint="eastAsia" w:ascii="宋体" w:hAnsi="宋体" w:eastAsia="宋体" w:cs="宋体"/>
                <w:bCs/>
              </w:rPr>
              <w:t>必修</w:t>
            </w:r>
          </w:p>
        </w:tc>
        <w:tc>
          <w:tcPr>
            <w:tcW w:w="852" w:type="dxa"/>
            <w:vAlign w:val="center"/>
          </w:tcPr>
          <w:p w14:paraId="169ABA0E">
            <w:pPr>
              <w:jc w:val="center"/>
              <w:rPr>
                <w:rFonts w:ascii="Times New Roman" w:hAnsi="Times New Roman" w:cs="Times New Roman"/>
                <w:kern w:val="2"/>
              </w:rPr>
            </w:pPr>
            <w:r>
              <w:rPr>
                <w:rFonts w:hint="eastAsia" w:ascii="Times New Roman" w:hAnsi="Times New Roman" w:cs="Times New Roman" w:eastAsiaTheme="minorEastAsia"/>
                <w:bCs/>
                <w:lang w:val="en-US" w:eastAsia="zh-CN"/>
              </w:rPr>
              <w:t>4</w:t>
            </w:r>
          </w:p>
        </w:tc>
        <w:tc>
          <w:tcPr>
            <w:tcW w:w="1104" w:type="dxa"/>
            <w:vAlign w:val="center"/>
          </w:tcPr>
          <w:p w14:paraId="134FEB99">
            <w:pPr>
              <w:jc w:val="center"/>
              <w:rPr>
                <w:rFonts w:ascii="Times New Roman" w:hAnsi="Times New Roman" w:cs="Times New Roman"/>
                <w:kern w:val="2"/>
              </w:rPr>
            </w:pPr>
            <w:r>
              <w:rPr>
                <w:rFonts w:hint="eastAsia" w:ascii="Times New Roman" w:hAnsi="Times New Roman" w:cs="Times New Roman" w:eastAsiaTheme="minorEastAsia"/>
                <w:bCs/>
                <w:lang w:val="en-US" w:eastAsia="zh-CN"/>
              </w:rPr>
              <w:t>2.67%</w:t>
            </w:r>
          </w:p>
        </w:tc>
        <w:tc>
          <w:tcPr>
            <w:tcW w:w="959" w:type="dxa"/>
            <w:vAlign w:val="center"/>
          </w:tcPr>
          <w:p w14:paraId="6857FAF2">
            <w:pPr>
              <w:jc w:val="center"/>
              <w:rPr>
                <w:rFonts w:ascii="Times New Roman" w:hAnsi="Times New Roman" w:cs="Times New Roman"/>
                <w:kern w:val="2"/>
              </w:rPr>
            </w:pPr>
            <w:r>
              <w:rPr>
                <w:rFonts w:hint="eastAsia" w:ascii="Times New Roman" w:hAnsi="Times New Roman" w:cs="Times New Roman" w:eastAsiaTheme="minorEastAsia"/>
                <w:bCs/>
                <w:lang w:val="en-US" w:eastAsia="zh-CN"/>
              </w:rPr>
              <w:t>64</w:t>
            </w:r>
          </w:p>
        </w:tc>
        <w:tc>
          <w:tcPr>
            <w:tcW w:w="1146" w:type="dxa"/>
            <w:vAlign w:val="center"/>
          </w:tcPr>
          <w:p w14:paraId="4505FE4A">
            <w:pPr>
              <w:widowControl w:val="0"/>
              <w:kinsoku/>
              <w:autoSpaceDE/>
              <w:autoSpaceDN/>
              <w:adjustRightInd/>
              <w:snapToGrid/>
              <w:spacing w:line="240" w:lineRule="exact"/>
              <w:jc w:val="center"/>
              <w:textAlignment w:val="auto"/>
              <w:rPr>
                <w:rFonts w:ascii="Times New Roman" w:hAnsi="Times New Roman" w:cs="Times New Roman"/>
                <w:kern w:val="2"/>
              </w:rPr>
            </w:pPr>
            <w:r>
              <w:rPr>
                <w:rFonts w:hint="eastAsia" w:ascii="Times New Roman" w:hAnsi="Times New Roman" w:cs="Times New Roman" w:eastAsiaTheme="minorEastAsia"/>
                <w:bCs/>
                <w:lang w:val="en-US" w:eastAsia="zh-CN"/>
              </w:rPr>
              <w:t>1.88</w:t>
            </w:r>
          </w:p>
        </w:tc>
        <w:tc>
          <w:tcPr>
            <w:tcW w:w="1000" w:type="dxa"/>
            <w:vAlign w:val="center"/>
          </w:tcPr>
          <w:p w14:paraId="1D74B4D4">
            <w:pPr>
              <w:jc w:val="center"/>
              <w:rPr>
                <w:rFonts w:ascii="Times New Roman" w:hAnsi="Times New Roman" w:cs="Times New Roman"/>
                <w:kern w:val="2"/>
              </w:rPr>
            </w:pPr>
          </w:p>
        </w:tc>
        <w:tc>
          <w:tcPr>
            <w:tcW w:w="1005" w:type="dxa"/>
            <w:vAlign w:val="center"/>
          </w:tcPr>
          <w:p w14:paraId="5824E392">
            <w:pPr>
              <w:jc w:val="center"/>
              <w:rPr>
                <w:rFonts w:ascii="Times New Roman" w:hAnsi="Times New Roman" w:cs="Times New Roman"/>
                <w:kern w:val="2"/>
              </w:rPr>
            </w:pPr>
          </w:p>
        </w:tc>
      </w:tr>
      <w:tr w14:paraId="68E8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gridSpan w:val="2"/>
            <w:vMerge w:val="restart"/>
            <w:vAlign w:val="center"/>
          </w:tcPr>
          <w:p w14:paraId="6E75DE46">
            <w:pPr>
              <w:kinsoku/>
              <w:jc w:val="center"/>
              <w:rPr>
                <w:rFonts w:ascii="宋体" w:hAnsi="宋体" w:eastAsia="宋体" w:cs="宋体"/>
                <w:bCs/>
                <w:kern w:val="2"/>
              </w:rPr>
            </w:pPr>
            <w:r>
              <w:rPr>
                <w:rFonts w:hint="eastAsia" w:ascii="宋体" w:hAnsi="宋体" w:eastAsia="宋体" w:cs="宋体"/>
                <w:bCs/>
                <w:kern w:val="2"/>
              </w:rPr>
              <w:t>学科基础课程</w:t>
            </w:r>
          </w:p>
        </w:tc>
        <w:tc>
          <w:tcPr>
            <w:tcW w:w="1392" w:type="dxa"/>
            <w:vAlign w:val="center"/>
          </w:tcPr>
          <w:p w14:paraId="3ADD0C2E">
            <w:pPr>
              <w:kinsoku/>
              <w:jc w:val="center"/>
              <w:rPr>
                <w:rFonts w:ascii="宋体" w:hAnsi="宋体" w:eastAsia="宋体" w:cs="宋体"/>
                <w:bCs/>
                <w:kern w:val="2"/>
              </w:rPr>
            </w:pPr>
            <w:r>
              <w:rPr>
                <w:rFonts w:hint="eastAsia" w:ascii="宋体" w:hAnsi="宋体" w:eastAsia="宋体" w:cs="宋体"/>
                <w:bCs/>
                <w:kern w:val="2"/>
              </w:rPr>
              <w:t>必修</w:t>
            </w:r>
          </w:p>
        </w:tc>
        <w:tc>
          <w:tcPr>
            <w:tcW w:w="852" w:type="dxa"/>
            <w:vAlign w:val="center"/>
          </w:tcPr>
          <w:p w14:paraId="4D291800">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23</w:t>
            </w:r>
          </w:p>
        </w:tc>
        <w:tc>
          <w:tcPr>
            <w:tcW w:w="1104" w:type="dxa"/>
            <w:vAlign w:val="center"/>
          </w:tcPr>
          <w:p w14:paraId="3C8AA94B">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15.33%</w:t>
            </w:r>
          </w:p>
        </w:tc>
        <w:tc>
          <w:tcPr>
            <w:tcW w:w="959" w:type="dxa"/>
            <w:vAlign w:val="center"/>
          </w:tcPr>
          <w:p w14:paraId="2E8D6E4D">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416</w:t>
            </w:r>
          </w:p>
        </w:tc>
        <w:tc>
          <w:tcPr>
            <w:tcW w:w="1146" w:type="dxa"/>
            <w:vAlign w:val="center"/>
          </w:tcPr>
          <w:p w14:paraId="02CD4177">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1</w:t>
            </w:r>
          </w:p>
        </w:tc>
        <w:tc>
          <w:tcPr>
            <w:tcW w:w="1000" w:type="dxa"/>
            <w:vAlign w:val="center"/>
          </w:tcPr>
          <w:p w14:paraId="17551C45">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1.5</w:t>
            </w:r>
          </w:p>
        </w:tc>
        <w:tc>
          <w:tcPr>
            <w:tcW w:w="1005" w:type="dxa"/>
            <w:vAlign w:val="center"/>
          </w:tcPr>
          <w:p w14:paraId="372A32B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r>
      <w:tr w14:paraId="4362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831" w:type="dxa"/>
            <w:gridSpan w:val="2"/>
            <w:vMerge w:val="continue"/>
            <w:vAlign w:val="center"/>
          </w:tcPr>
          <w:p w14:paraId="736AE668">
            <w:pPr>
              <w:kinsoku/>
              <w:jc w:val="center"/>
              <w:rPr>
                <w:rFonts w:ascii="宋体" w:hAnsi="宋体" w:eastAsia="宋体" w:cs="宋体"/>
                <w:bCs/>
                <w:kern w:val="2"/>
              </w:rPr>
            </w:pPr>
          </w:p>
        </w:tc>
        <w:tc>
          <w:tcPr>
            <w:tcW w:w="1392" w:type="dxa"/>
            <w:vAlign w:val="center"/>
          </w:tcPr>
          <w:p w14:paraId="6716099B">
            <w:pPr>
              <w:kinsoku/>
              <w:jc w:val="center"/>
              <w:rPr>
                <w:rFonts w:ascii="宋体" w:hAnsi="宋体" w:eastAsia="宋体" w:cs="宋体"/>
                <w:bCs/>
                <w:kern w:val="2"/>
              </w:rPr>
            </w:pPr>
            <w:r>
              <w:rPr>
                <w:rFonts w:hint="eastAsia" w:ascii="宋体" w:hAnsi="宋体" w:eastAsia="宋体" w:cs="宋体"/>
                <w:bCs/>
                <w:kern w:val="2"/>
              </w:rPr>
              <w:t>选修</w:t>
            </w:r>
          </w:p>
        </w:tc>
        <w:tc>
          <w:tcPr>
            <w:tcW w:w="852" w:type="dxa"/>
            <w:vAlign w:val="center"/>
          </w:tcPr>
          <w:p w14:paraId="537B79D1">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04" w:type="dxa"/>
            <w:vAlign w:val="center"/>
          </w:tcPr>
          <w:p w14:paraId="42FD2017">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959" w:type="dxa"/>
            <w:vAlign w:val="center"/>
          </w:tcPr>
          <w:p w14:paraId="03C4F20B">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46" w:type="dxa"/>
            <w:vAlign w:val="center"/>
          </w:tcPr>
          <w:p w14:paraId="358641C0">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7A952D9A">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vAlign w:val="center"/>
          </w:tcPr>
          <w:p w14:paraId="48035864">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r>
      <w:tr w14:paraId="7EEE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831" w:type="dxa"/>
            <w:gridSpan w:val="2"/>
            <w:vMerge w:val="restart"/>
            <w:vAlign w:val="center"/>
          </w:tcPr>
          <w:p w14:paraId="1843452E">
            <w:pPr>
              <w:kinsoku/>
              <w:jc w:val="center"/>
              <w:rPr>
                <w:rFonts w:ascii="宋体" w:hAnsi="宋体" w:eastAsia="宋体" w:cs="宋体"/>
                <w:bCs/>
                <w:kern w:val="2"/>
              </w:rPr>
            </w:pPr>
            <w:r>
              <w:rPr>
                <w:rFonts w:hint="eastAsia" w:ascii="宋体" w:hAnsi="宋体" w:eastAsia="宋体" w:cs="宋体"/>
                <w:bCs/>
                <w:kern w:val="2"/>
              </w:rPr>
              <w:t>专业教育课程</w:t>
            </w:r>
          </w:p>
        </w:tc>
        <w:tc>
          <w:tcPr>
            <w:tcW w:w="1392" w:type="dxa"/>
            <w:vAlign w:val="center"/>
          </w:tcPr>
          <w:p w14:paraId="67C1AB82">
            <w:pPr>
              <w:kinsoku/>
              <w:jc w:val="center"/>
              <w:rPr>
                <w:rFonts w:ascii="宋体" w:hAnsi="宋体" w:eastAsia="宋体" w:cs="宋体"/>
                <w:bCs/>
                <w:kern w:val="2"/>
              </w:rPr>
            </w:pPr>
            <w:r>
              <w:rPr>
                <w:rFonts w:hint="eastAsia" w:ascii="宋体" w:hAnsi="宋体" w:eastAsia="宋体" w:cs="宋体"/>
                <w:bCs/>
                <w:kern w:val="2"/>
              </w:rPr>
              <w:t>必修</w:t>
            </w:r>
          </w:p>
        </w:tc>
        <w:tc>
          <w:tcPr>
            <w:tcW w:w="852" w:type="dxa"/>
            <w:vAlign w:val="center"/>
          </w:tcPr>
          <w:p w14:paraId="0BDD841B">
            <w:pPr>
              <w:kinsoku/>
              <w:jc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kern w:val="2"/>
              </w:rPr>
              <w:t>1</w:t>
            </w:r>
            <w:r>
              <w:rPr>
                <w:rFonts w:ascii="Times New Roman" w:hAnsi="Times New Roman" w:cs="Times New Roman"/>
                <w:kern w:val="2"/>
              </w:rPr>
              <w:t>0</w:t>
            </w:r>
          </w:p>
        </w:tc>
        <w:tc>
          <w:tcPr>
            <w:tcW w:w="1104" w:type="dxa"/>
            <w:vAlign w:val="center"/>
          </w:tcPr>
          <w:p w14:paraId="4C21A62C">
            <w:pPr>
              <w:kinsoku/>
              <w:jc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kern w:val="2"/>
              </w:rPr>
              <w:t>6.67</w:t>
            </w:r>
            <w:r>
              <w:rPr>
                <w:rFonts w:ascii="Times New Roman" w:hAnsi="Times New Roman" w:cs="Times New Roman"/>
                <w:kern w:val="2"/>
              </w:rPr>
              <w:t>%</w:t>
            </w:r>
          </w:p>
        </w:tc>
        <w:tc>
          <w:tcPr>
            <w:tcW w:w="959" w:type="dxa"/>
            <w:vAlign w:val="center"/>
          </w:tcPr>
          <w:p w14:paraId="41F0BFD3">
            <w:pPr>
              <w:kinsoku/>
              <w:jc w:val="center"/>
              <w:rPr>
                <w:rFonts w:hint="eastAsia" w:ascii="Times New Roman" w:hAnsi="Times New Roman" w:cs="Times New Roman" w:eastAsiaTheme="minorEastAsia"/>
                <w:spacing w:val="7"/>
                <w:kern w:val="2"/>
                <w:sz w:val="24"/>
                <w:szCs w:val="22"/>
              </w:rPr>
            </w:pPr>
            <w:r>
              <w:rPr>
                <w:rFonts w:hint="eastAsia" w:ascii="Times New Roman" w:hAnsi="Times New Roman" w:cs="Times New Roman" w:eastAsiaTheme="minorEastAsia"/>
                <w:kern w:val="2"/>
              </w:rPr>
              <w:t>160</w:t>
            </w:r>
          </w:p>
        </w:tc>
        <w:tc>
          <w:tcPr>
            <w:tcW w:w="1146" w:type="dxa"/>
            <w:vAlign w:val="center"/>
          </w:tcPr>
          <w:p w14:paraId="4BFBD353">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16E6F08B">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vAlign w:val="center"/>
          </w:tcPr>
          <w:p w14:paraId="34A6D2B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r>
      <w:tr w14:paraId="31D8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831" w:type="dxa"/>
            <w:gridSpan w:val="2"/>
            <w:vMerge w:val="continue"/>
          </w:tcPr>
          <w:p w14:paraId="04D033DB">
            <w:pPr>
              <w:kinsoku/>
              <w:jc w:val="center"/>
              <w:rPr>
                <w:rFonts w:ascii="宋体" w:hAnsi="宋体" w:eastAsia="宋体" w:cs="宋体"/>
                <w:bCs/>
                <w:kern w:val="2"/>
              </w:rPr>
            </w:pPr>
          </w:p>
        </w:tc>
        <w:tc>
          <w:tcPr>
            <w:tcW w:w="1392" w:type="dxa"/>
            <w:vAlign w:val="center"/>
          </w:tcPr>
          <w:p w14:paraId="426206B7">
            <w:pPr>
              <w:kinsoku/>
              <w:jc w:val="center"/>
              <w:rPr>
                <w:rFonts w:ascii="宋体" w:hAnsi="宋体" w:eastAsia="宋体" w:cs="宋体"/>
                <w:bCs/>
                <w:kern w:val="2"/>
              </w:rPr>
            </w:pPr>
            <w:r>
              <w:rPr>
                <w:rFonts w:hint="eastAsia" w:ascii="宋体" w:hAnsi="宋体" w:eastAsia="宋体" w:cs="宋体"/>
                <w:bCs/>
                <w:kern w:val="2"/>
              </w:rPr>
              <w:t>选修</w:t>
            </w:r>
          </w:p>
        </w:tc>
        <w:tc>
          <w:tcPr>
            <w:tcW w:w="852" w:type="dxa"/>
            <w:vAlign w:val="center"/>
          </w:tcPr>
          <w:p w14:paraId="45A87020">
            <w:pPr>
              <w:kinsoku/>
              <w:jc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kern w:val="2"/>
              </w:rPr>
              <w:t>1</w:t>
            </w:r>
            <w:r>
              <w:rPr>
                <w:rFonts w:ascii="Times New Roman" w:hAnsi="Times New Roman" w:cs="Times New Roman"/>
                <w:kern w:val="2"/>
              </w:rPr>
              <w:t>3</w:t>
            </w:r>
          </w:p>
        </w:tc>
        <w:tc>
          <w:tcPr>
            <w:tcW w:w="1104" w:type="dxa"/>
            <w:vAlign w:val="center"/>
          </w:tcPr>
          <w:p w14:paraId="69E246B3">
            <w:pPr>
              <w:kinsoku/>
              <w:jc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kern w:val="2"/>
              </w:rPr>
              <w:t>8</w:t>
            </w:r>
            <w:r>
              <w:rPr>
                <w:rFonts w:ascii="Times New Roman" w:hAnsi="Times New Roman" w:cs="Times New Roman"/>
                <w:kern w:val="2"/>
              </w:rPr>
              <w:t>.</w:t>
            </w:r>
            <w:r>
              <w:rPr>
                <w:rFonts w:hint="eastAsia" w:ascii="Times New Roman" w:hAnsi="Times New Roman" w:cs="Times New Roman" w:eastAsiaTheme="minorEastAsia"/>
                <w:kern w:val="2"/>
              </w:rPr>
              <w:t>67</w:t>
            </w:r>
            <w:r>
              <w:rPr>
                <w:rFonts w:ascii="Times New Roman" w:hAnsi="Times New Roman" w:cs="Times New Roman"/>
                <w:kern w:val="2"/>
              </w:rPr>
              <w:t>%</w:t>
            </w:r>
          </w:p>
        </w:tc>
        <w:tc>
          <w:tcPr>
            <w:tcW w:w="959" w:type="dxa"/>
            <w:vAlign w:val="center"/>
          </w:tcPr>
          <w:p w14:paraId="28BF4162">
            <w:pPr>
              <w:kinsoku/>
              <w:jc w:val="center"/>
              <w:rPr>
                <w:rFonts w:hint="eastAsia" w:ascii="Times New Roman" w:hAnsi="Times New Roman" w:cs="Times New Roman" w:eastAsiaTheme="minorEastAsia"/>
                <w:spacing w:val="7"/>
                <w:kern w:val="2"/>
                <w:sz w:val="24"/>
                <w:szCs w:val="22"/>
              </w:rPr>
            </w:pPr>
            <w:r>
              <w:rPr>
                <w:rFonts w:hint="eastAsia" w:ascii="Times New Roman" w:hAnsi="Times New Roman" w:cs="Times New Roman" w:eastAsiaTheme="minorEastAsia"/>
                <w:kern w:val="2"/>
              </w:rPr>
              <w:t>208</w:t>
            </w:r>
          </w:p>
        </w:tc>
        <w:tc>
          <w:tcPr>
            <w:tcW w:w="1146" w:type="dxa"/>
            <w:vAlign w:val="center"/>
          </w:tcPr>
          <w:p w14:paraId="4C3C05D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35B926FB">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vAlign w:val="center"/>
          </w:tcPr>
          <w:p w14:paraId="1B193A2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r>
      <w:tr w14:paraId="504E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5" w:type="dxa"/>
            <w:vMerge w:val="restart"/>
            <w:vAlign w:val="center"/>
          </w:tcPr>
          <w:p w14:paraId="6C393270">
            <w:pPr>
              <w:kinsoku/>
              <w:jc w:val="center"/>
              <w:rPr>
                <w:rFonts w:ascii="宋体" w:hAnsi="宋体" w:eastAsia="宋体" w:cs="宋体"/>
                <w:bCs/>
                <w:kern w:val="2"/>
              </w:rPr>
            </w:pPr>
            <w:r>
              <w:rPr>
                <w:rFonts w:hint="eastAsia" w:ascii="宋体" w:hAnsi="宋体" w:eastAsia="宋体" w:cs="宋体"/>
                <w:bCs/>
                <w:kern w:val="2"/>
              </w:rPr>
              <w:t>专业实践教学</w:t>
            </w:r>
            <w:r>
              <w:rPr>
                <w:rFonts w:hint="eastAsia" w:ascii="宋体" w:hAnsi="宋体" w:eastAsia="宋体" w:cs="宋体"/>
                <w:bCs/>
                <w:kern w:val="2"/>
              </w:rPr>
              <w:br w:type="textWrapping"/>
            </w:r>
            <w:r>
              <w:rPr>
                <w:rFonts w:hint="eastAsia" w:ascii="宋体" w:hAnsi="宋体" w:eastAsia="宋体" w:cs="宋体"/>
                <w:bCs/>
                <w:kern w:val="2"/>
              </w:rPr>
              <w:t>课程</w:t>
            </w:r>
          </w:p>
        </w:tc>
        <w:tc>
          <w:tcPr>
            <w:tcW w:w="1116" w:type="dxa"/>
            <w:vMerge w:val="restart"/>
            <w:vAlign w:val="center"/>
          </w:tcPr>
          <w:p w14:paraId="6950D750">
            <w:pPr>
              <w:kinsoku/>
              <w:jc w:val="center"/>
              <w:rPr>
                <w:rFonts w:ascii="宋体" w:hAnsi="宋体" w:eastAsia="宋体" w:cs="宋体"/>
                <w:bCs/>
                <w:kern w:val="2"/>
              </w:rPr>
            </w:pPr>
            <w:r>
              <w:rPr>
                <w:rFonts w:hint="eastAsia" w:ascii="宋体" w:hAnsi="宋体" w:eastAsia="宋体" w:cs="宋体"/>
                <w:bCs/>
                <w:kern w:val="2"/>
              </w:rPr>
              <w:t>专业单独实验类</w:t>
            </w:r>
          </w:p>
        </w:tc>
        <w:tc>
          <w:tcPr>
            <w:tcW w:w="1392" w:type="dxa"/>
            <w:vAlign w:val="center"/>
          </w:tcPr>
          <w:p w14:paraId="5D61162A">
            <w:pPr>
              <w:kinsoku/>
              <w:jc w:val="center"/>
              <w:rPr>
                <w:rFonts w:ascii="宋体" w:hAnsi="宋体" w:eastAsia="宋体" w:cs="宋体"/>
                <w:bCs/>
                <w:kern w:val="2"/>
              </w:rPr>
            </w:pPr>
            <w:r>
              <w:rPr>
                <w:rFonts w:hint="eastAsia" w:ascii="宋体" w:hAnsi="宋体" w:eastAsia="宋体" w:cs="宋体"/>
                <w:bCs/>
                <w:kern w:val="2"/>
              </w:rPr>
              <w:t>必修</w:t>
            </w:r>
          </w:p>
        </w:tc>
        <w:tc>
          <w:tcPr>
            <w:tcW w:w="852" w:type="dxa"/>
            <w:vAlign w:val="center"/>
          </w:tcPr>
          <w:p w14:paraId="709C3DFE">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04" w:type="dxa"/>
            <w:vAlign w:val="center"/>
          </w:tcPr>
          <w:p w14:paraId="35033954">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959" w:type="dxa"/>
            <w:vAlign w:val="center"/>
          </w:tcPr>
          <w:p w14:paraId="57BB0F53">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46" w:type="dxa"/>
            <w:vAlign w:val="center"/>
          </w:tcPr>
          <w:p w14:paraId="3E47CBC1">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63607477">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tcPr>
          <w:p w14:paraId="0660F2C5">
            <w:pPr>
              <w:kinsoku/>
              <w:jc w:val="center"/>
              <w:rPr>
                <w:rFonts w:ascii="Times New Roman" w:hAnsi="Times New Roman" w:eastAsia="黑体" w:cs="Times New Roman"/>
                <w:spacing w:val="7"/>
                <w:kern w:val="2"/>
                <w:sz w:val="24"/>
                <w:szCs w:val="22"/>
              </w:rPr>
            </w:pPr>
          </w:p>
        </w:tc>
      </w:tr>
      <w:tr w14:paraId="6E94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715" w:type="dxa"/>
            <w:vMerge w:val="continue"/>
            <w:vAlign w:val="center"/>
          </w:tcPr>
          <w:p w14:paraId="5E7587C1">
            <w:pPr>
              <w:kinsoku/>
              <w:jc w:val="center"/>
              <w:rPr>
                <w:rFonts w:ascii="宋体" w:hAnsi="宋体" w:eastAsia="宋体" w:cs="宋体"/>
                <w:bCs/>
                <w:kern w:val="2"/>
              </w:rPr>
            </w:pPr>
          </w:p>
        </w:tc>
        <w:tc>
          <w:tcPr>
            <w:tcW w:w="1116" w:type="dxa"/>
            <w:vMerge w:val="continue"/>
            <w:vAlign w:val="center"/>
          </w:tcPr>
          <w:p w14:paraId="5DE5F0B8">
            <w:pPr>
              <w:kinsoku/>
              <w:jc w:val="center"/>
              <w:rPr>
                <w:rFonts w:ascii="宋体" w:hAnsi="宋体" w:eastAsia="宋体" w:cs="宋体"/>
                <w:bCs/>
                <w:kern w:val="2"/>
              </w:rPr>
            </w:pPr>
          </w:p>
        </w:tc>
        <w:tc>
          <w:tcPr>
            <w:tcW w:w="1392" w:type="dxa"/>
            <w:vAlign w:val="center"/>
          </w:tcPr>
          <w:p w14:paraId="5950BB7A">
            <w:pPr>
              <w:kinsoku/>
              <w:jc w:val="center"/>
              <w:rPr>
                <w:rFonts w:ascii="宋体" w:hAnsi="宋体" w:eastAsia="宋体" w:cs="宋体"/>
                <w:bCs/>
                <w:kern w:val="2"/>
              </w:rPr>
            </w:pPr>
            <w:r>
              <w:rPr>
                <w:rFonts w:hint="eastAsia" w:ascii="宋体" w:hAnsi="宋体" w:eastAsia="宋体" w:cs="宋体"/>
                <w:bCs/>
                <w:kern w:val="2"/>
              </w:rPr>
              <w:t>选修</w:t>
            </w:r>
          </w:p>
        </w:tc>
        <w:tc>
          <w:tcPr>
            <w:tcW w:w="852" w:type="dxa"/>
            <w:vAlign w:val="center"/>
          </w:tcPr>
          <w:p w14:paraId="0935221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04" w:type="dxa"/>
            <w:vAlign w:val="center"/>
          </w:tcPr>
          <w:p w14:paraId="5669C656">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959" w:type="dxa"/>
            <w:vAlign w:val="center"/>
          </w:tcPr>
          <w:p w14:paraId="32EAC65B">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46" w:type="dxa"/>
            <w:vAlign w:val="center"/>
          </w:tcPr>
          <w:p w14:paraId="73C8673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6A2CF190">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tcPr>
          <w:p w14:paraId="593C04E4">
            <w:pPr>
              <w:kinsoku/>
              <w:jc w:val="center"/>
              <w:rPr>
                <w:rFonts w:ascii="Times New Roman" w:hAnsi="Times New Roman" w:eastAsia="黑体" w:cs="Times New Roman"/>
                <w:spacing w:val="7"/>
                <w:kern w:val="2"/>
                <w:sz w:val="24"/>
                <w:szCs w:val="22"/>
              </w:rPr>
            </w:pPr>
          </w:p>
        </w:tc>
      </w:tr>
      <w:tr w14:paraId="0516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15" w:type="dxa"/>
            <w:vMerge w:val="continue"/>
            <w:vAlign w:val="center"/>
          </w:tcPr>
          <w:p w14:paraId="53334F48">
            <w:pPr>
              <w:kinsoku/>
              <w:jc w:val="center"/>
              <w:rPr>
                <w:rFonts w:ascii="宋体" w:hAnsi="宋体" w:eastAsia="宋体" w:cs="宋体"/>
                <w:bCs/>
                <w:kern w:val="2"/>
              </w:rPr>
            </w:pPr>
          </w:p>
        </w:tc>
        <w:tc>
          <w:tcPr>
            <w:tcW w:w="1116" w:type="dxa"/>
            <w:vMerge w:val="restart"/>
            <w:vAlign w:val="center"/>
          </w:tcPr>
          <w:p w14:paraId="727555CB">
            <w:pPr>
              <w:kinsoku/>
              <w:jc w:val="center"/>
              <w:rPr>
                <w:rFonts w:ascii="宋体" w:hAnsi="宋体" w:eastAsia="宋体" w:cs="宋体"/>
                <w:bCs/>
                <w:kern w:val="2"/>
              </w:rPr>
            </w:pPr>
            <w:r>
              <w:rPr>
                <w:rFonts w:hint="eastAsia" w:ascii="宋体" w:hAnsi="宋体" w:eastAsia="宋体" w:cs="宋体"/>
                <w:bCs/>
                <w:kern w:val="2"/>
              </w:rPr>
              <w:t>专业集中实践类</w:t>
            </w:r>
          </w:p>
        </w:tc>
        <w:tc>
          <w:tcPr>
            <w:tcW w:w="1392" w:type="dxa"/>
            <w:vAlign w:val="center"/>
          </w:tcPr>
          <w:p w14:paraId="1A694861">
            <w:pPr>
              <w:kinsoku/>
              <w:jc w:val="center"/>
              <w:rPr>
                <w:rFonts w:ascii="宋体" w:hAnsi="宋体" w:eastAsia="宋体" w:cs="宋体"/>
                <w:bCs/>
                <w:kern w:val="2"/>
              </w:rPr>
            </w:pPr>
            <w:r>
              <w:rPr>
                <w:rFonts w:hint="eastAsia" w:ascii="宋体" w:hAnsi="宋体" w:eastAsia="宋体" w:cs="宋体"/>
                <w:bCs/>
                <w:kern w:val="2"/>
              </w:rPr>
              <w:t>必修</w:t>
            </w:r>
          </w:p>
        </w:tc>
        <w:tc>
          <w:tcPr>
            <w:tcW w:w="852" w:type="dxa"/>
            <w:vAlign w:val="center"/>
          </w:tcPr>
          <w:p w14:paraId="540A7FD6">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32</w:t>
            </w:r>
          </w:p>
        </w:tc>
        <w:tc>
          <w:tcPr>
            <w:tcW w:w="1104" w:type="dxa"/>
            <w:vAlign w:val="center"/>
          </w:tcPr>
          <w:p w14:paraId="31D72356">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21.33%</w:t>
            </w:r>
          </w:p>
        </w:tc>
        <w:tc>
          <w:tcPr>
            <w:tcW w:w="959" w:type="dxa"/>
            <w:vAlign w:val="center"/>
          </w:tcPr>
          <w:p w14:paraId="257377FB">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40W</w:t>
            </w:r>
          </w:p>
        </w:tc>
        <w:tc>
          <w:tcPr>
            <w:tcW w:w="1146" w:type="dxa"/>
            <w:vAlign w:val="center"/>
          </w:tcPr>
          <w:p w14:paraId="59CE9493">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6526B4AD">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vAlign w:val="center"/>
          </w:tcPr>
          <w:p w14:paraId="18EE328F">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32</w:t>
            </w:r>
          </w:p>
        </w:tc>
      </w:tr>
      <w:tr w14:paraId="49A7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715" w:type="dxa"/>
            <w:vMerge w:val="continue"/>
            <w:vAlign w:val="center"/>
          </w:tcPr>
          <w:p w14:paraId="42896F95">
            <w:pPr>
              <w:kinsoku/>
              <w:jc w:val="center"/>
              <w:rPr>
                <w:rFonts w:ascii="宋体" w:hAnsi="宋体" w:eastAsia="宋体" w:cs="宋体"/>
                <w:bCs/>
                <w:kern w:val="2"/>
              </w:rPr>
            </w:pPr>
          </w:p>
        </w:tc>
        <w:tc>
          <w:tcPr>
            <w:tcW w:w="1116" w:type="dxa"/>
            <w:vMerge w:val="continue"/>
            <w:vAlign w:val="center"/>
          </w:tcPr>
          <w:p w14:paraId="2D8A7654">
            <w:pPr>
              <w:kinsoku/>
              <w:jc w:val="center"/>
              <w:rPr>
                <w:rFonts w:ascii="宋体" w:hAnsi="宋体" w:eastAsia="宋体" w:cs="宋体"/>
                <w:bCs/>
                <w:kern w:val="2"/>
              </w:rPr>
            </w:pPr>
          </w:p>
        </w:tc>
        <w:tc>
          <w:tcPr>
            <w:tcW w:w="1392" w:type="dxa"/>
            <w:vAlign w:val="center"/>
          </w:tcPr>
          <w:p w14:paraId="33EA4E22">
            <w:pPr>
              <w:kinsoku/>
              <w:jc w:val="center"/>
              <w:rPr>
                <w:rFonts w:ascii="宋体" w:hAnsi="宋体" w:eastAsia="宋体" w:cs="宋体"/>
                <w:bCs/>
                <w:kern w:val="2"/>
              </w:rPr>
            </w:pPr>
            <w:r>
              <w:rPr>
                <w:rFonts w:hint="eastAsia" w:ascii="宋体" w:hAnsi="宋体" w:eastAsia="宋体" w:cs="宋体"/>
                <w:bCs/>
                <w:kern w:val="2"/>
              </w:rPr>
              <w:t>选修</w:t>
            </w:r>
          </w:p>
        </w:tc>
        <w:tc>
          <w:tcPr>
            <w:tcW w:w="852" w:type="dxa"/>
            <w:vAlign w:val="center"/>
          </w:tcPr>
          <w:p w14:paraId="3EC42B1E">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04" w:type="dxa"/>
            <w:vAlign w:val="center"/>
          </w:tcPr>
          <w:p w14:paraId="06B703A8">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959" w:type="dxa"/>
            <w:vAlign w:val="center"/>
          </w:tcPr>
          <w:p w14:paraId="3613EAC5">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146" w:type="dxa"/>
            <w:vAlign w:val="center"/>
          </w:tcPr>
          <w:p w14:paraId="35225DE3">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0" w:type="dxa"/>
            <w:vAlign w:val="center"/>
          </w:tcPr>
          <w:p w14:paraId="02788A89">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　</w:t>
            </w:r>
          </w:p>
        </w:tc>
        <w:tc>
          <w:tcPr>
            <w:tcW w:w="1005" w:type="dxa"/>
          </w:tcPr>
          <w:p w14:paraId="65675EAB">
            <w:pPr>
              <w:kinsoku/>
              <w:jc w:val="center"/>
              <w:rPr>
                <w:rFonts w:ascii="Times New Roman" w:hAnsi="Times New Roman" w:eastAsia="黑体" w:cs="Times New Roman"/>
                <w:spacing w:val="7"/>
                <w:kern w:val="2"/>
                <w:sz w:val="24"/>
                <w:szCs w:val="22"/>
              </w:rPr>
            </w:pPr>
          </w:p>
        </w:tc>
      </w:tr>
      <w:tr w14:paraId="3259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gridSpan w:val="3"/>
            <w:vAlign w:val="center"/>
          </w:tcPr>
          <w:p w14:paraId="6BFCC093">
            <w:pPr>
              <w:kinsoku/>
              <w:jc w:val="center"/>
              <w:rPr>
                <w:rFonts w:ascii="Times New Roman" w:hAnsi="Times New Roman" w:eastAsia="黑体" w:cs="Times New Roman"/>
                <w:spacing w:val="7"/>
                <w:kern w:val="2"/>
                <w:sz w:val="24"/>
                <w:szCs w:val="22"/>
              </w:rPr>
            </w:pPr>
            <w:r>
              <w:rPr>
                <w:rFonts w:hint="eastAsia" w:ascii="宋体" w:hAnsi="宋体" w:eastAsia="宋体" w:cs="宋体"/>
                <w:bCs/>
                <w:kern w:val="2"/>
              </w:rPr>
              <w:t>合计</w:t>
            </w:r>
          </w:p>
        </w:tc>
        <w:tc>
          <w:tcPr>
            <w:tcW w:w="852" w:type="dxa"/>
            <w:vAlign w:val="center"/>
          </w:tcPr>
          <w:p w14:paraId="5A74B1CD">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150</w:t>
            </w:r>
          </w:p>
        </w:tc>
        <w:tc>
          <w:tcPr>
            <w:tcW w:w="1104" w:type="dxa"/>
            <w:vAlign w:val="center"/>
          </w:tcPr>
          <w:p w14:paraId="49D5DC9D">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100%</w:t>
            </w:r>
          </w:p>
        </w:tc>
        <w:tc>
          <w:tcPr>
            <w:tcW w:w="959" w:type="dxa"/>
            <w:vAlign w:val="center"/>
          </w:tcPr>
          <w:p w14:paraId="2C7D5664">
            <w:pPr>
              <w:kinsoku/>
              <w:jc w:val="center"/>
              <w:rPr>
                <w:rFonts w:ascii="Times New Roman" w:hAnsi="Times New Roman" w:eastAsia="黑体" w:cs="Times New Roman"/>
                <w:spacing w:val="7"/>
                <w:kern w:val="2"/>
                <w:sz w:val="24"/>
                <w:szCs w:val="22"/>
              </w:rPr>
            </w:pPr>
            <w:r>
              <w:rPr>
                <w:rFonts w:ascii="Times New Roman" w:hAnsi="Times New Roman" w:cs="Times New Roman"/>
                <w:kern w:val="2"/>
              </w:rPr>
              <w:t>20</w:t>
            </w:r>
            <w:r>
              <w:rPr>
                <w:rFonts w:hint="eastAsia" w:ascii="Times New Roman" w:hAnsi="Times New Roman" w:eastAsia="宋体" w:cs="Times New Roman"/>
                <w:kern w:val="2"/>
                <w:lang w:val="en-US" w:eastAsia="zh-CN"/>
              </w:rPr>
              <w:t>56</w:t>
            </w:r>
            <w:r>
              <w:rPr>
                <w:rFonts w:ascii="Times New Roman" w:hAnsi="Times New Roman" w:cs="Times New Roman"/>
                <w:kern w:val="2"/>
              </w:rPr>
              <w:t>+42W</w:t>
            </w:r>
          </w:p>
        </w:tc>
        <w:tc>
          <w:tcPr>
            <w:tcW w:w="1146" w:type="dxa"/>
            <w:vAlign w:val="center"/>
          </w:tcPr>
          <w:p w14:paraId="5F680E9F">
            <w:pPr>
              <w:widowControl w:val="0"/>
              <w:kinsoku/>
              <w:autoSpaceDE/>
              <w:autoSpaceDN/>
              <w:adjustRightInd/>
              <w:snapToGrid/>
              <w:spacing w:line="240" w:lineRule="exact"/>
              <w:jc w:val="center"/>
              <w:textAlignment w:val="auto"/>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highlight w:val="none"/>
                <w:lang w:val="en-US" w:eastAsia="zh-CN"/>
              </w:rPr>
              <w:t>13.88</w:t>
            </w:r>
          </w:p>
        </w:tc>
        <w:tc>
          <w:tcPr>
            <w:tcW w:w="1000" w:type="dxa"/>
            <w:vAlign w:val="center"/>
          </w:tcPr>
          <w:p w14:paraId="3605D0DD">
            <w:pPr>
              <w:jc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highlight w:val="none"/>
                <w:lang w:val="en-US" w:eastAsia="zh-CN"/>
              </w:rPr>
              <w:t>3.5</w:t>
            </w:r>
          </w:p>
        </w:tc>
        <w:tc>
          <w:tcPr>
            <w:tcW w:w="1005" w:type="dxa"/>
            <w:vAlign w:val="center"/>
          </w:tcPr>
          <w:p w14:paraId="182A85BB">
            <w:pPr>
              <w:jc w:val="center"/>
              <w:rPr>
                <w:rFonts w:ascii="Times New Roman" w:hAnsi="Times New Roman" w:cs="Times New Roman" w:eastAsiaTheme="minorEastAsia"/>
                <w:spacing w:val="7"/>
                <w:kern w:val="2"/>
                <w:sz w:val="24"/>
                <w:szCs w:val="22"/>
              </w:rPr>
            </w:pPr>
            <w:r>
              <w:rPr>
                <w:rFonts w:hint="eastAsia" w:ascii="Times New Roman" w:hAnsi="Times New Roman" w:cs="Times New Roman" w:eastAsiaTheme="minorEastAsia"/>
                <w:bCs/>
                <w:highlight w:val="none"/>
                <w:lang w:val="en-US" w:eastAsia="zh-CN"/>
              </w:rPr>
              <w:t>34</w:t>
            </w:r>
          </w:p>
        </w:tc>
      </w:tr>
      <w:tr w14:paraId="47C6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223" w:type="dxa"/>
            <w:gridSpan w:val="3"/>
            <w:vAlign w:val="center"/>
          </w:tcPr>
          <w:p w14:paraId="37B76504">
            <w:pPr>
              <w:kinsoku/>
              <w:jc w:val="center"/>
              <w:rPr>
                <w:rFonts w:ascii="Times New Roman" w:hAnsi="Times New Roman" w:eastAsia="黑体" w:cs="Times New Roman"/>
                <w:b/>
                <w:bCs w:val="0"/>
                <w:spacing w:val="7"/>
                <w:kern w:val="2"/>
                <w:sz w:val="24"/>
                <w:szCs w:val="22"/>
              </w:rPr>
            </w:pPr>
            <w:r>
              <w:rPr>
                <w:rFonts w:hint="eastAsia" w:ascii="宋体" w:hAnsi="宋体" w:eastAsia="宋体" w:cs="宋体"/>
                <w:b/>
                <w:bCs w:val="0"/>
                <w:kern w:val="2"/>
              </w:rPr>
              <w:t>分类实践学分占总学分比</w:t>
            </w:r>
          </w:p>
        </w:tc>
        <w:tc>
          <w:tcPr>
            <w:tcW w:w="852" w:type="dxa"/>
          </w:tcPr>
          <w:p w14:paraId="11AB1DA0">
            <w:pPr>
              <w:kinsoku/>
              <w:jc w:val="center"/>
              <w:rPr>
                <w:rFonts w:ascii="Times New Roman" w:hAnsi="Times New Roman" w:eastAsia="黑体" w:cs="Times New Roman"/>
                <w:spacing w:val="7"/>
                <w:kern w:val="2"/>
                <w:sz w:val="24"/>
                <w:szCs w:val="22"/>
              </w:rPr>
            </w:pPr>
          </w:p>
        </w:tc>
        <w:tc>
          <w:tcPr>
            <w:tcW w:w="1104" w:type="dxa"/>
          </w:tcPr>
          <w:p w14:paraId="6C9C4E6D">
            <w:pPr>
              <w:kinsoku/>
              <w:jc w:val="center"/>
              <w:rPr>
                <w:rFonts w:ascii="Times New Roman" w:hAnsi="Times New Roman" w:eastAsia="黑体" w:cs="Times New Roman"/>
                <w:spacing w:val="7"/>
                <w:kern w:val="2"/>
                <w:sz w:val="24"/>
                <w:szCs w:val="22"/>
              </w:rPr>
            </w:pPr>
          </w:p>
        </w:tc>
        <w:tc>
          <w:tcPr>
            <w:tcW w:w="959" w:type="dxa"/>
          </w:tcPr>
          <w:p w14:paraId="43799A7E">
            <w:pPr>
              <w:kinsoku/>
              <w:jc w:val="center"/>
              <w:rPr>
                <w:rFonts w:ascii="Times New Roman" w:hAnsi="Times New Roman" w:eastAsia="黑体" w:cs="Times New Roman"/>
                <w:spacing w:val="7"/>
                <w:kern w:val="2"/>
                <w:sz w:val="24"/>
                <w:szCs w:val="22"/>
              </w:rPr>
            </w:pPr>
          </w:p>
        </w:tc>
        <w:tc>
          <w:tcPr>
            <w:tcW w:w="1146" w:type="dxa"/>
            <w:vAlign w:val="center"/>
          </w:tcPr>
          <w:p w14:paraId="2B28A705">
            <w:pPr>
              <w:keepNext w:val="0"/>
              <w:keepLines w:val="0"/>
              <w:widowControl/>
              <w:suppressLineNumbers w:val="0"/>
              <w:jc w:val="center"/>
              <w:textAlignment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lang w:val="en-US" w:eastAsia="zh-CN"/>
              </w:rPr>
              <w:t>9.25%</w:t>
            </w:r>
          </w:p>
        </w:tc>
        <w:tc>
          <w:tcPr>
            <w:tcW w:w="1000" w:type="dxa"/>
            <w:vAlign w:val="center"/>
          </w:tcPr>
          <w:p w14:paraId="519C3D16">
            <w:pPr>
              <w:keepNext w:val="0"/>
              <w:keepLines w:val="0"/>
              <w:widowControl/>
              <w:suppressLineNumbers w:val="0"/>
              <w:jc w:val="center"/>
              <w:textAlignment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lang w:val="en-US" w:eastAsia="zh-CN"/>
              </w:rPr>
              <w:t>2.33%</w:t>
            </w:r>
          </w:p>
        </w:tc>
        <w:tc>
          <w:tcPr>
            <w:tcW w:w="1005" w:type="dxa"/>
            <w:vAlign w:val="center"/>
          </w:tcPr>
          <w:p w14:paraId="71E05FC3">
            <w:pPr>
              <w:keepNext w:val="0"/>
              <w:keepLines w:val="0"/>
              <w:widowControl/>
              <w:suppressLineNumbers w:val="0"/>
              <w:jc w:val="center"/>
              <w:textAlignment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bCs/>
                <w:lang w:val="en-US" w:eastAsia="zh-CN"/>
              </w:rPr>
              <w:t>22.67%</w:t>
            </w:r>
          </w:p>
        </w:tc>
      </w:tr>
      <w:tr w14:paraId="3F87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223" w:type="dxa"/>
            <w:gridSpan w:val="3"/>
            <w:vAlign w:val="center"/>
          </w:tcPr>
          <w:p w14:paraId="6F4A7EFC">
            <w:pPr>
              <w:kinsoku/>
              <w:jc w:val="center"/>
              <w:rPr>
                <w:rFonts w:ascii="Times New Roman" w:hAnsi="Times New Roman" w:eastAsia="黑体" w:cs="Times New Roman"/>
                <w:b/>
                <w:bCs w:val="0"/>
                <w:spacing w:val="7"/>
                <w:kern w:val="2"/>
                <w:sz w:val="24"/>
                <w:szCs w:val="22"/>
              </w:rPr>
            </w:pPr>
            <w:r>
              <w:rPr>
                <w:rFonts w:hint="eastAsia" w:ascii="宋体" w:hAnsi="宋体" w:eastAsia="宋体" w:cs="宋体"/>
                <w:b/>
                <w:bCs w:val="0"/>
                <w:kern w:val="2"/>
              </w:rPr>
              <w:t>专业性实践学分占总学分比</w:t>
            </w:r>
          </w:p>
        </w:tc>
        <w:tc>
          <w:tcPr>
            <w:tcW w:w="852" w:type="dxa"/>
          </w:tcPr>
          <w:p w14:paraId="17F66D0E">
            <w:pPr>
              <w:kinsoku/>
              <w:jc w:val="center"/>
              <w:rPr>
                <w:rFonts w:ascii="Times New Roman" w:hAnsi="Times New Roman" w:eastAsia="黑体" w:cs="Times New Roman"/>
                <w:spacing w:val="7"/>
                <w:kern w:val="2"/>
                <w:sz w:val="24"/>
                <w:szCs w:val="22"/>
              </w:rPr>
            </w:pPr>
          </w:p>
        </w:tc>
        <w:tc>
          <w:tcPr>
            <w:tcW w:w="1104" w:type="dxa"/>
          </w:tcPr>
          <w:p w14:paraId="63C26DF4">
            <w:pPr>
              <w:kinsoku/>
              <w:jc w:val="center"/>
              <w:rPr>
                <w:rFonts w:ascii="Times New Roman" w:hAnsi="Times New Roman" w:eastAsia="黑体" w:cs="Times New Roman"/>
                <w:spacing w:val="7"/>
                <w:kern w:val="2"/>
                <w:sz w:val="24"/>
                <w:szCs w:val="22"/>
              </w:rPr>
            </w:pPr>
          </w:p>
        </w:tc>
        <w:tc>
          <w:tcPr>
            <w:tcW w:w="959" w:type="dxa"/>
          </w:tcPr>
          <w:p w14:paraId="35010880">
            <w:pPr>
              <w:kinsoku/>
              <w:jc w:val="center"/>
              <w:rPr>
                <w:rFonts w:ascii="Times New Roman" w:hAnsi="Times New Roman" w:eastAsia="黑体" w:cs="Times New Roman"/>
                <w:spacing w:val="7"/>
                <w:kern w:val="2"/>
                <w:sz w:val="24"/>
                <w:szCs w:val="22"/>
              </w:rPr>
            </w:pPr>
          </w:p>
        </w:tc>
        <w:tc>
          <w:tcPr>
            <w:tcW w:w="1146" w:type="dxa"/>
            <w:vAlign w:val="center"/>
          </w:tcPr>
          <w:p w14:paraId="03AFEEB2">
            <w:pPr>
              <w:keepNext w:val="0"/>
              <w:keepLines w:val="0"/>
              <w:widowControl/>
              <w:suppressLineNumbers w:val="0"/>
              <w:jc w:val="center"/>
              <w:textAlignment w:val="center"/>
              <w:rPr>
                <w:rFonts w:ascii="Times New Roman" w:hAnsi="Times New Roman" w:eastAsia="黑体" w:cs="Times New Roman"/>
                <w:spacing w:val="7"/>
                <w:kern w:val="2"/>
                <w:sz w:val="24"/>
                <w:szCs w:val="22"/>
              </w:rPr>
            </w:pPr>
          </w:p>
        </w:tc>
        <w:tc>
          <w:tcPr>
            <w:tcW w:w="2005" w:type="dxa"/>
            <w:gridSpan w:val="2"/>
            <w:vAlign w:val="center"/>
          </w:tcPr>
          <w:p w14:paraId="29446297">
            <w:pPr>
              <w:keepNext w:val="0"/>
              <w:keepLines w:val="0"/>
              <w:widowControl/>
              <w:suppressLineNumbers w:val="0"/>
              <w:jc w:val="center"/>
              <w:textAlignment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b/>
                <w:bCs w:val="0"/>
                <w:lang w:val="en-US" w:eastAsia="zh-CN"/>
              </w:rPr>
              <w:t>25.0%</w:t>
            </w:r>
          </w:p>
        </w:tc>
      </w:tr>
      <w:tr w14:paraId="1738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223" w:type="dxa"/>
            <w:gridSpan w:val="3"/>
            <w:vAlign w:val="center"/>
          </w:tcPr>
          <w:p w14:paraId="18B2AD59">
            <w:pPr>
              <w:kinsoku/>
              <w:jc w:val="center"/>
              <w:rPr>
                <w:rFonts w:ascii="Times New Roman" w:hAnsi="Times New Roman" w:eastAsia="黑体" w:cs="Times New Roman"/>
                <w:b/>
                <w:bCs w:val="0"/>
                <w:spacing w:val="7"/>
                <w:kern w:val="2"/>
                <w:sz w:val="24"/>
                <w:szCs w:val="22"/>
              </w:rPr>
            </w:pPr>
            <w:r>
              <w:rPr>
                <w:rFonts w:hint="eastAsia" w:ascii="宋体" w:hAnsi="宋体" w:eastAsia="宋体" w:cs="宋体"/>
                <w:b/>
                <w:bCs w:val="0"/>
                <w:kern w:val="2"/>
              </w:rPr>
              <w:t>实践教学学分占总学分比</w:t>
            </w:r>
          </w:p>
        </w:tc>
        <w:tc>
          <w:tcPr>
            <w:tcW w:w="852" w:type="dxa"/>
          </w:tcPr>
          <w:p w14:paraId="19B0E13D">
            <w:pPr>
              <w:kinsoku/>
              <w:jc w:val="center"/>
              <w:rPr>
                <w:rFonts w:ascii="Times New Roman" w:hAnsi="Times New Roman" w:eastAsia="黑体" w:cs="Times New Roman"/>
                <w:spacing w:val="7"/>
                <w:kern w:val="2"/>
                <w:sz w:val="24"/>
                <w:szCs w:val="22"/>
              </w:rPr>
            </w:pPr>
          </w:p>
        </w:tc>
        <w:tc>
          <w:tcPr>
            <w:tcW w:w="1104" w:type="dxa"/>
          </w:tcPr>
          <w:p w14:paraId="31BD9397">
            <w:pPr>
              <w:kinsoku/>
              <w:jc w:val="center"/>
              <w:rPr>
                <w:rFonts w:ascii="Times New Roman" w:hAnsi="Times New Roman" w:eastAsia="黑体" w:cs="Times New Roman"/>
                <w:spacing w:val="7"/>
                <w:kern w:val="2"/>
                <w:sz w:val="24"/>
                <w:szCs w:val="22"/>
              </w:rPr>
            </w:pPr>
          </w:p>
        </w:tc>
        <w:tc>
          <w:tcPr>
            <w:tcW w:w="959" w:type="dxa"/>
          </w:tcPr>
          <w:p w14:paraId="50D3C4B2">
            <w:pPr>
              <w:kinsoku/>
              <w:jc w:val="center"/>
              <w:rPr>
                <w:rFonts w:ascii="Times New Roman" w:hAnsi="Times New Roman" w:eastAsia="黑体" w:cs="Times New Roman"/>
                <w:spacing w:val="7"/>
                <w:kern w:val="2"/>
                <w:sz w:val="24"/>
                <w:szCs w:val="22"/>
              </w:rPr>
            </w:pPr>
          </w:p>
        </w:tc>
        <w:tc>
          <w:tcPr>
            <w:tcW w:w="3151" w:type="dxa"/>
            <w:gridSpan w:val="3"/>
            <w:vAlign w:val="center"/>
          </w:tcPr>
          <w:p w14:paraId="53FC759B">
            <w:pPr>
              <w:keepNext w:val="0"/>
              <w:keepLines w:val="0"/>
              <w:widowControl/>
              <w:suppressLineNumbers w:val="0"/>
              <w:jc w:val="center"/>
              <w:textAlignment w:val="center"/>
              <w:rPr>
                <w:rFonts w:ascii="Times New Roman" w:hAnsi="Times New Roman" w:eastAsia="黑体" w:cs="Times New Roman"/>
                <w:spacing w:val="7"/>
                <w:kern w:val="2"/>
                <w:sz w:val="24"/>
                <w:szCs w:val="22"/>
              </w:rPr>
            </w:pPr>
            <w:r>
              <w:rPr>
                <w:rFonts w:hint="eastAsia" w:ascii="Times New Roman" w:hAnsi="Times New Roman" w:cs="Times New Roman" w:eastAsiaTheme="minorEastAsia"/>
                <w:b/>
                <w:bCs w:val="0"/>
                <w:lang w:val="en-US" w:eastAsia="zh-CN"/>
              </w:rPr>
              <w:t>34.25%</w:t>
            </w:r>
          </w:p>
        </w:tc>
      </w:tr>
    </w:tbl>
    <w:p w14:paraId="0DF29334">
      <w:pPr>
        <w:kinsoku/>
        <w:jc w:val="center"/>
        <w:rPr>
          <w:rFonts w:ascii="Times New Roman" w:hAnsi="Times New Roman" w:eastAsia="黑体" w:cs="Times New Roman"/>
          <w:spacing w:val="7"/>
          <w:sz w:val="24"/>
          <w:szCs w:val="22"/>
        </w:rPr>
      </w:pPr>
    </w:p>
    <w:p w14:paraId="174E38CD">
      <w:pPr>
        <w:kinsoku/>
        <w:spacing w:line="15" w:lineRule="exact"/>
        <w:ind w:firstLine="480"/>
        <w:rPr>
          <w:rFonts w:ascii="Times New Roman" w:hAnsi="Times New Roman" w:cs="Times New Roman"/>
        </w:rPr>
      </w:pPr>
    </w:p>
    <w:p w14:paraId="2E121305">
      <w:pPr>
        <w:kinsoku/>
        <w:spacing w:line="560" w:lineRule="exact"/>
        <w:jc w:val="both"/>
        <w:rPr>
          <w:rFonts w:ascii="Times New Roman" w:hAnsi="Times New Roman" w:eastAsia="黑体" w:cs="Times New Roman"/>
          <w:spacing w:val="4"/>
          <w:sz w:val="28"/>
          <w:szCs w:val="28"/>
        </w:rPr>
      </w:pPr>
      <w:r>
        <w:rPr>
          <w:rFonts w:ascii="Times New Roman" w:hAnsi="Times New Roman" w:eastAsia="黑体" w:cs="Times New Roman"/>
          <w:spacing w:val="4"/>
          <w:sz w:val="28"/>
          <w:szCs w:val="28"/>
        </w:rPr>
        <w:t>七、学制与学位</w:t>
      </w:r>
    </w:p>
    <w:p w14:paraId="727579C4">
      <w:pPr>
        <w:kinsoku/>
        <w:spacing w:line="560" w:lineRule="exact"/>
        <w:ind w:firstLine="501" w:firstLineChars="196"/>
        <w:rPr>
          <w:rFonts w:ascii="Times New Roman" w:hAnsi="Times New Roman" w:cs="Times New Roman" w:eastAsiaTheme="majorEastAsia"/>
          <w:spacing w:val="8"/>
          <w:sz w:val="24"/>
          <w:szCs w:val="24"/>
        </w:rPr>
      </w:pPr>
      <w:r>
        <w:rPr>
          <w:rFonts w:hint="eastAsia" w:ascii="Times New Roman" w:hAnsi="Times New Roman" w:cs="Times New Roman" w:eastAsiaTheme="majorEastAsia"/>
          <w:spacing w:val="8"/>
          <w:sz w:val="24"/>
          <w:szCs w:val="24"/>
        </w:rPr>
        <w:t>标准学制：</w:t>
      </w:r>
      <w:r>
        <w:rPr>
          <w:rFonts w:ascii="Times New Roman" w:hAnsi="Times New Roman" w:cs="Times New Roman" w:eastAsiaTheme="majorEastAsia"/>
          <w:spacing w:val="8"/>
          <w:sz w:val="24"/>
          <w:szCs w:val="24"/>
        </w:rPr>
        <w:t>4</w:t>
      </w:r>
      <w:r>
        <w:rPr>
          <w:rFonts w:hint="eastAsia" w:ascii="Times New Roman" w:hAnsi="Times New Roman" w:cs="Times New Roman" w:eastAsiaTheme="majorEastAsia"/>
          <w:spacing w:val="8"/>
          <w:sz w:val="24"/>
          <w:szCs w:val="24"/>
        </w:rPr>
        <w:t>年，学习年限</w:t>
      </w:r>
      <w:r>
        <w:rPr>
          <w:rFonts w:ascii="Times New Roman" w:hAnsi="Times New Roman" w:cs="Times New Roman" w:eastAsiaTheme="majorEastAsia"/>
          <w:spacing w:val="8"/>
          <w:sz w:val="24"/>
          <w:szCs w:val="24"/>
        </w:rPr>
        <w:t>3-6</w:t>
      </w:r>
      <w:r>
        <w:rPr>
          <w:rFonts w:hint="eastAsia" w:ascii="Times New Roman" w:hAnsi="Times New Roman" w:cs="Times New Roman" w:eastAsiaTheme="majorEastAsia"/>
          <w:spacing w:val="8"/>
          <w:sz w:val="24"/>
          <w:szCs w:val="24"/>
        </w:rPr>
        <w:t>年</w:t>
      </w:r>
    </w:p>
    <w:p w14:paraId="2515BDEE">
      <w:pPr>
        <w:kinsoku/>
        <w:spacing w:line="560" w:lineRule="exact"/>
        <w:ind w:firstLine="501" w:firstLineChars="196"/>
        <w:rPr>
          <w:rFonts w:ascii="Times New Roman" w:hAnsi="Times New Roman" w:cs="Times New Roman" w:eastAsiaTheme="majorEastAsia"/>
          <w:sz w:val="24"/>
          <w:szCs w:val="24"/>
        </w:rPr>
      </w:pPr>
      <w:r>
        <w:rPr>
          <w:rFonts w:hint="eastAsia" w:ascii="Times New Roman" w:hAnsi="Times New Roman" w:cs="Times New Roman" w:eastAsiaTheme="majorEastAsia"/>
          <w:spacing w:val="8"/>
          <w:sz w:val="24"/>
          <w:szCs w:val="24"/>
        </w:rPr>
        <w:t>授予学位：工学学士学位</w:t>
      </w:r>
    </w:p>
    <w:p w14:paraId="4E241420">
      <w:pPr>
        <w:kinsoku/>
        <w:spacing w:line="560" w:lineRule="exact"/>
        <w:jc w:val="both"/>
        <w:rPr>
          <w:rFonts w:ascii="Times New Roman" w:hAnsi="Times New Roman" w:eastAsia="黑体" w:cs="Times New Roman"/>
          <w:spacing w:val="4"/>
          <w:sz w:val="28"/>
          <w:szCs w:val="28"/>
        </w:rPr>
      </w:pPr>
      <w:r>
        <w:rPr>
          <w:rFonts w:ascii="Times New Roman" w:hAnsi="Times New Roman" w:eastAsia="黑体" w:cs="Times New Roman"/>
          <w:spacing w:val="4"/>
          <w:sz w:val="28"/>
          <w:szCs w:val="28"/>
        </w:rPr>
        <w:t>八</w:t>
      </w:r>
      <w:r>
        <w:rPr>
          <w:rFonts w:hint="eastAsia" w:ascii="Times New Roman" w:hAnsi="Times New Roman" w:eastAsia="黑体" w:cs="Times New Roman"/>
          <w:spacing w:val="4"/>
          <w:sz w:val="28"/>
          <w:szCs w:val="28"/>
          <w:lang w:eastAsia="zh-CN"/>
        </w:rPr>
        <w:t>、</w:t>
      </w:r>
      <w:r>
        <w:rPr>
          <w:rFonts w:ascii="Times New Roman" w:hAnsi="Times New Roman" w:eastAsia="黑体" w:cs="Times New Roman"/>
          <w:spacing w:val="4"/>
          <w:sz w:val="28"/>
          <w:szCs w:val="28"/>
        </w:rPr>
        <w:t>专业核心课程</w:t>
      </w:r>
    </w:p>
    <w:p w14:paraId="431241F4">
      <w:pPr>
        <w:kinsoku/>
        <w:spacing w:line="560" w:lineRule="exact"/>
        <w:ind w:firstLine="508" w:firstLineChars="200"/>
        <w:rPr>
          <w:rFonts w:ascii="Times New Roman" w:hAnsi="Times New Roman" w:eastAsia="宋体" w:cs="Times New Roman"/>
          <w:spacing w:val="7"/>
          <w:sz w:val="24"/>
          <w:szCs w:val="24"/>
        </w:rPr>
      </w:pPr>
      <w:r>
        <w:rPr>
          <w:rFonts w:hint="eastAsia" w:ascii="Times New Roman" w:hAnsi="Times New Roman" w:eastAsia="宋体" w:cs="Times New Roman"/>
          <w:spacing w:val="7"/>
          <w:sz w:val="24"/>
          <w:szCs w:val="24"/>
        </w:rPr>
        <w:t>材料科学与工程基础、电化学原理、电催化原理、新能源材料设计、新能源材料与器件、燃料电池原理与应用、生产实习</w:t>
      </w:r>
      <w:bookmarkStart w:id="0" w:name="_GoBack"/>
      <w:bookmarkEnd w:id="0"/>
      <w:r>
        <w:rPr>
          <w:rFonts w:hint="eastAsia" w:ascii="Times New Roman" w:hAnsi="Times New Roman" w:eastAsia="宋体" w:cs="Times New Roman"/>
          <w:spacing w:val="7"/>
          <w:sz w:val="24"/>
          <w:szCs w:val="24"/>
        </w:rPr>
        <w:t>、毕业设计（论文）等。</w:t>
      </w:r>
    </w:p>
    <w:sectPr>
      <w:footerReference r:id="rId3" w:type="default"/>
      <w:pgSz w:w="11907" w:h="16839"/>
      <w:pgMar w:top="1134" w:right="1417" w:bottom="1134" w:left="1417" w:header="0" w:footer="0"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406E1C-17CD-4ABD-B66B-D1BF5D69648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3533699"/>
    </w:sdtPr>
    <w:sdtEndPr>
      <w:rPr>
        <w:rFonts w:asciiTheme="minorEastAsia" w:hAnsiTheme="minorEastAsia" w:eastAsiaTheme="minorEastAsia"/>
        <w:sz w:val="28"/>
        <w:szCs w:val="28"/>
      </w:rPr>
    </w:sdtEndPr>
    <w:sdtContent>
      <w:p w14:paraId="12B8E51B">
        <w:pPr>
          <w:pStyle w:val="4"/>
          <w:ind w:firstLine="360"/>
          <w:jc w:val="center"/>
          <w:rPr>
            <w:rFonts w:asciiTheme="minorEastAsia" w:hAnsiTheme="minorEastAsia" w:eastAsiaTheme="minorEastAsia"/>
            <w:sz w:val="28"/>
            <w:szCs w:val="28"/>
          </w:rPr>
        </w:pPr>
      </w:p>
    </w:sdtContent>
  </w:sdt>
  <w:p w14:paraId="5A39FB86">
    <w:pPr>
      <w:pStyle w:val="4"/>
      <w:ind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0OTMwMjAxMGM2ODBkMmY0NTBmOTQ5YTE3ZmRkOTQifQ=="/>
  </w:docVars>
  <w:rsids>
    <w:rsidRoot w:val="00BA0ED1"/>
    <w:rsid w:val="000020EA"/>
    <w:rsid w:val="00005AF4"/>
    <w:rsid w:val="0001773C"/>
    <w:rsid w:val="00026E91"/>
    <w:rsid w:val="000459FB"/>
    <w:rsid w:val="00057F94"/>
    <w:rsid w:val="000668BC"/>
    <w:rsid w:val="00066DC5"/>
    <w:rsid w:val="00081607"/>
    <w:rsid w:val="00094B2E"/>
    <w:rsid w:val="000A06F9"/>
    <w:rsid w:val="000A6FC2"/>
    <w:rsid w:val="000B5800"/>
    <w:rsid w:val="000D06B1"/>
    <w:rsid w:val="000D154A"/>
    <w:rsid w:val="000E2032"/>
    <w:rsid w:val="000E43AF"/>
    <w:rsid w:val="001123BD"/>
    <w:rsid w:val="001168E6"/>
    <w:rsid w:val="00117952"/>
    <w:rsid w:val="00126E69"/>
    <w:rsid w:val="00135236"/>
    <w:rsid w:val="00141BEA"/>
    <w:rsid w:val="0014313C"/>
    <w:rsid w:val="001504B0"/>
    <w:rsid w:val="0015549E"/>
    <w:rsid w:val="00164890"/>
    <w:rsid w:val="00171156"/>
    <w:rsid w:val="00183B11"/>
    <w:rsid w:val="00191EAA"/>
    <w:rsid w:val="0019521E"/>
    <w:rsid w:val="001B1FEE"/>
    <w:rsid w:val="001B4737"/>
    <w:rsid w:val="001B6810"/>
    <w:rsid w:val="001B743A"/>
    <w:rsid w:val="001C523C"/>
    <w:rsid w:val="001C6B7B"/>
    <w:rsid w:val="001C711A"/>
    <w:rsid w:val="001E0EA7"/>
    <w:rsid w:val="001E10ED"/>
    <w:rsid w:val="00225424"/>
    <w:rsid w:val="002273D0"/>
    <w:rsid w:val="002306BE"/>
    <w:rsid w:val="00240FF6"/>
    <w:rsid w:val="002425AF"/>
    <w:rsid w:val="00243316"/>
    <w:rsid w:val="00245C05"/>
    <w:rsid w:val="0024797D"/>
    <w:rsid w:val="00263F6D"/>
    <w:rsid w:val="00271E38"/>
    <w:rsid w:val="0028262C"/>
    <w:rsid w:val="002A4E57"/>
    <w:rsid w:val="002C0539"/>
    <w:rsid w:val="002C24C0"/>
    <w:rsid w:val="002D04E1"/>
    <w:rsid w:val="002D52A9"/>
    <w:rsid w:val="002D6946"/>
    <w:rsid w:val="002E39EA"/>
    <w:rsid w:val="002E72F1"/>
    <w:rsid w:val="002F307F"/>
    <w:rsid w:val="0030390D"/>
    <w:rsid w:val="00303BE9"/>
    <w:rsid w:val="00331439"/>
    <w:rsid w:val="00332683"/>
    <w:rsid w:val="00332906"/>
    <w:rsid w:val="00344ED5"/>
    <w:rsid w:val="00345EC7"/>
    <w:rsid w:val="00346022"/>
    <w:rsid w:val="00347ADD"/>
    <w:rsid w:val="00353956"/>
    <w:rsid w:val="00356DDB"/>
    <w:rsid w:val="003836DF"/>
    <w:rsid w:val="003921BA"/>
    <w:rsid w:val="00397DFB"/>
    <w:rsid w:val="003A125F"/>
    <w:rsid w:val="003B44B2"/>
    <w:rsid w:val="003C0131"/>
    <w:rsid w:val="003C2BC7"/>
    <w:rsid w:val="003C2E5E"/>
    <w:rsid w:val="003C3813"/>
    <w:rsid w:val="003E10DC"/>
    <w:rsid w:val="00403933"/>
    <w:rsid w:val="00414916"/>
    <w:rsid w:val="00414FBF"/>
    <w:rsid w:val="00424A9D"/>
    <w:rsid w:val="00445018"/>
    <w:rsid w:val="00461519"/>
    <w:rsid w:val="00473031"/>
    <w:rsid w:val="004A2AC7"/>
    <w:rsid w:val="004A2F9E"/>
    <w:rsid w:val="004B5329"/>
    <w:rsid w:val="004D4BCD"/>
    <w:rsid w:val="004F486B"/>
    <w:rsid w:val="00501F48"/>
    <w:rsid w:val="005073F3"/>
    <w:rsid w:val="00507A9D"/>
    <w:rsid w:val="00522EC1"/>
    <w:rsid w:val="00525FF3"/>
    <w:rsid w:val="00566515"/>
    <w:rsid w:val="00570992"/>
    <w:rsid w:val="0057554B"/>
    <w:rsid w:val="0057564B"/>
    <w:rsid w:val="005A045E"/>
    <w:rsid w:val="005A4455"/>
    <w:rsid w:val="005B4A2F"/>
    <w:rsid w:val="005C46ED"/>
    <w:rsid w:val="005C53A6"/>
    <w:rsid w:val="005D23C0"/>
    <w:rsid w:val="005D31D9"/>
    <w:rsid w:val="005D74F4"/>
    <w:rsid w:val="005E5302"/>
    <w:rsid w:val="005F0018"/>
    <w:rsid w:val="005F0DBA"/>
    <w:rsid w:val="005F4D6E"/>
    <w:rsid w:val="005F6319"/>
    <w:rsid w:val="005F7613"/>
    <w:rsid w:val="006014F6"/>
    <w:rsid w:val="006043F6"/>
    <w:rsid w:val="00613442"/>
    <w:rsid w:val="0062436F"/>
    <w:rsid w:val="00631CE0"/>
    <w:rsid w:val="006357B9"/>
    <w:rsid w:val="006448C0"/>
    <w:rsid w:val="006521B9"/>
    <w:rsid w:val="00652F97"/>
    <w:rsid w:val="00654B58"/>
    <w:rsid w:val="00663BFD"/>
    <w:rsid w:val="00667A08"/>
    <w:rsid w:val="00676501"/>
    <w:rsid w:val="0069060D"/>
    <w:rsid w:val="006A0DFF"/>
    <w:rsid w:val="006A19C1"/>
    <w:rsid w:val="006B4E3D"/>
    <w:rsid w:val="006C14C3"/>
    <w:rsid w:val="006D0A5E"/>
    <w:rsid w:val="006D2E46"/>
    <w:rsid w:val="006F227F"/>
    <w:rsid w:val="00702BC1"/>
    <w:rsid w:val="0071492D"/>
    <w:rsid w:val="00715BEA"/>
    <w:rsid w:val="007223D2"/>
    <w:rsid w:val="00732BBB"/>
    <w:rsid w:val="00734B15"/>
    <w:rsid w:val="00736897"/>
    <w:rsid w:val="00737BD0"/>
    <w:rsid w:val="0074709E"/>
    <w:rsid w:val="00757C9C"/>
    <w:rsid w:val="00760042"/>
    <w:rsid w:val="00761138"/>
    <w:rsid w:val="00764025"/>
    <w:rsid w:val="007A0E03"/>
    <w:rsid w:val="007B1F19"/>
    <w:rsid w:val="007B646E"/>
    <w:rsid w:val="007B6DD2"/>
    <w:rsid w:val="007C20A4"/>
    <w:rsid w:val="007C2D06"/>
    <w:rsid w:val="007E2D18"/>
    <w:rsid w:val="007F514F"/>
    <w:rsid w:val="008049B9"/>
    <w:rsid w:val="00804AD1"/>
    <w:rsid w:val="00815E4D"/>
    <w:rsid w:val="00816E90"/>
    <w:rsid w:val="00817731"/>
    <w:rsid w:val="0082329D"/>
    <w:rsid w:val="008461E8"/>
    <w:rsid w:val="008618B2"/>
    <w:rsid w:val="0088083D"/>
    <w:rsid w:val="00887D7B"/>
    <w:rsid w:val="008B2FFB"/>
    <w:rsid w:val="008F075C"/>
    <w:rsid w:val="00901788"/>
    <w:rsid w:val="009104C6"/>
    <w:rsid w:val="00922561"/>
    <w:rsid w:val="00922C88"/>
    <w:rsid w:val="009260F7"/>
    <w:rsid w:val="0093020B"/>
    <w:rsid w:val="00933FA2"/>
    <w:rsid w:val="00944121"/>
    <w:rsid w:val="00951CFC"/>
    <w:rsid w:val="0097443B"/>
    <w:rsid w:val="009A5F71"/>
    <w:rsid w:val="009B2F96"/>
    <w:rsid w:val="009C7337"/>
    <w:rsid w:val="009C7B4D"/>
    <w:rsid w:val="009D25FB"/>
    <w:rsid w:val="009E0E23"/>
    <w:rsid w:val="009E2144"/>
    <w:rsid w:val="009E275E"/>
    <w:rsid w:val="009E5BF9"/>
    <w:rsid w:val="009E686F"/>
    <w:rsid w:val="009F330B"/>
    <w:rsid w:val="00A11DAB"/>
    <w:rsid w:val="00A1407D"/>
    <w:rsid w:val="00A15B45"/>
    <w:rsid w:val="00A36C54"/>
    <w:rsid w:val="00A52FC4"/>
    <w:rsid w:val="00A60D30"/>
    <w:rsid w:val="00A71A18"/>
    <w:rsid w:val="00A870B3"/>
    <w:rsid w:val="00A96ED2"/>
    <w:rsid w:val="00AB7670"/>
    <w:rsid w:val="00AC09AD"/>
    <w:rsid w:val="00AD63AE"/>
    <w:rsid w:val="00AE4129"/>
    <w:rsid w:val="00AE65BA"/>
    <w:rsid w:val="00AF1AF1"/>
    <w:rsid w:val="00B06BDA"/>
    <w:rsid w:val="00B159DD"/>
    <w:rsid w:val="00B159FE"/>
    <w:rsid w:val="00B21CFF"/>
    <w:rsid w:val="00B51B70"/>
    <w:rsid w:val="00B52B3A"/>
    <w:rsid w:val="00B56386"/>
    <w:rsid w:val="00B61561"/>
    <w:rsid w:val="00B66274"/>
    <w:rsid w:val="00B70930"/>
    <w:rsid w:val="00B70A79"/>
    <w:rsid w:val="00B72A19"/>
    <w:rsid w:val="00B74AF4"/>
    <w:rsid w:val="00B80199"/>
    <w:rsid w:val="00B81281"/>
    <w:rsid w:val="00B84E6E"/>
    <w:rsid w:val="00B91FA0"/>
    <w:rsid w:val="00B95C9B"/>
    <w:rsid w:val="00BA0ED1"/>
    <w:rsid w:val="00BA567F"/>
    <w:rsid w:val="00BB0CB5"/>
    <w:rsid w:val="00BB2945"/>
    <w:rsid w:val="00BC285A"/>
    <w:rsid w:val="00BC3625"/>
    <w:rsid w:val="00BD6595"/>
    <w:rsid w:val="00BE21C4"/>
    <w:rsid w:val="00C02C5E"/>
    <w:rsid w:val="00C03CF9"/>
    <w:rsid w:val="00C16600"/>
    <w:rsid w:val="00C215BE"/>
    <w:rsid w:val="00C4145C"/>
    <w:rsid w:val="00C43B99"/>
    <w:rsid w:val="00C46238"/>
    <w:rsid w:val="00C4700D"/>
    <w:rsid w:val="00C500B7"/>
    <w:rsid w:val="00C60697"/>
    <w:rsid w:val="00C622BF"/>
    <w:rsid w:val="00C638AD"/>
    <w:rsid w:val="00C84B5B"/>
    <w:rsid w:val="00C92A56"/>
    <w:rsid w:val="00C9792F"/>
    <w:rsid w:val="00CA0619"/>
    <w:rsid w:val="00CA40AF"/>
    <w:rsid w:val="00CA5669"/>
    <w:rsid w:val="00CB074E"/>
    <w:rsid w:val="00CB3F98"/>
    <w:rsid w:val="00CC599E"/>
    <w:rsid w:val="00CE1B37"/>
    <w:rsid w:val="00CE6728"/>
    <w:rsid w:val="00CE74BA"/>
    <w:rsid w:val="00D00470"/>
    <w:rsid w:val="00D0061E"/>
    <w:rsid w:val="00D1265D"/>
    <w:rsid w:val="00D20DAF"/>
    <w:rsid w:val="00D21A8B"/>
    <w:rsid w:val="00D54EB0"/>
    <w:rsid w:val="00D56D7B"/>
    <w:rsid w:val="00D603C8"/>
    <w:rsid w:val="00D65EC2"/>
    <w:rsid w:val="00D70053"/>
    <w:rsid w:val="00D7194C"/>
    <w:rsid w:val="00D71FFE"/>
    <w:rsid w:val="00D82EF9"/>
    <w:rsid w:val="00DA2E5E"/>
    <w:rsid w:val="00DB2D15"/>
    <w:rsid w:val="00DB3695"/>
    <w:rsid w:val="00DB7FEA"/>
    <w:rsid w:val="00DC72F2"/>
    <w:rsid w:val="00DD113A"/>
    <w:rsid w:val="00DD2097"/>
    <w:rsid w:val="00DD7846"/>
    <w:rsid w:val="00DE04EC"/>
    <w:rsid w:val="00DE1A9B"/>
    <w:rsid w:val="00DE44BA"/>
    <w:rsid w:val="00DF4C17"/>
    <w:rsid w:val="00DF5FDB"/>
    <w:rsid w:val="00E0421D"/>
    <w:rsid w:val="00E1671C"/>
    <w:rsid w:val="00E2365F"/>
    <w:rsid w:val="00E437DE"/>
    <w:rsid w:val="00E44C4B"/>
    <w:rsid w:val="00E45DF3"/>
    <w:rsid w:val="00E51082"/>
    <w:rsid w:val="00E53B79"/>
    <w:rsid w:val="00E641EA"/>
    <w:rsid w:val="00E6611F"/>
    <w:rsid w:val="00E72BA6"/>
    <w:rsid w:val="00E86E2D"/>
    <w:rsid w:val="00E87C30"/>
    <w:rsid w:val="00E87D9B"/>
    <w:rsid w:val="00E927B1"/>
    <w:rsid w:val="00EA3297"/>
    <w:rsid w:val="00EB08E9"/>
    <w:rsid w:val="00EF14AB"/>
    <w:rsid w:val="00EF15B7"/>
    <w:rsid w:val="00F02AF0"/>
    <w:rsid w:val="00F033D4"/>
    <w:rsid w:val="00F2321C"/>
    <w:rsid w:val="00F245AD"/>
    <w:rsid w:val="00F24EAD"/>
    <w:rsid w:val="00F3568E"/>
    <w:rsid w:val="00F462DC"/>
    <w:rsid w:val="00F5452B"/>
    <w:rsid w:val="00F60B1B"/>
    <w:rsid w:val="00F6719A"/>
    <w:rsid w:val="00F7680C"/>
    <w:rsid w:val="00F92F43"/>
    <w:rsid w:val="00FA2D98"/>
    <w:rsid w:val="00FA3AA3"/>
    <w:rsid w:val="00FB1989"/>
    <w:rsid w:val="00FB6B6F"/>
    <w:rsid w:val="00FC5E84"/>
    <w:rsid w:val="00FD08A2"/>
    <w:rsid w:val="00FE0241"/>
    <w:rsid w:val="00FE1173"/>
    <w:rsid w:val="01454703"/>
    <w:rsid w:val="022E212F"/>
    <w:rsid w:val="024D1A1D"/>
    <w:rsid w:val="028D3650"/>
    <w:rsid w:val="03375183"/>
    <w:rsid w:val="03AE3AA0"/>
    <w:rsid w:val="05F70902"/>
    <w:rsid w:val="07FD6608"/>
    <w:rsid w:val="08744BDF"/>
    <w:rsid w:val="09264ACD"/>
    <w:rsid w:val="0930353B"/>
    <w:rsid w:val="0977065A"/>
    <w:rsid w:val="0B9753AD"/>
    <w:rsid w:val="0BA1720E"/>
    <w:rsid w:val="0BAB2AA6"/>
    <w:rsid w:val="0BB91287"/>
    <w:rsid w:val="0D1D5845"/>
    <w:rsid w:val="0E6E3645"/>
    <w:rsid w:val="0E9F7B7A"/>
    <w:rsid w:val="1025066F"/>
    <w:rsid w:val="10632EF8"/>
    <w:rsid w:val="10E36BC5"/>
    <w:rsid w:val="1122064A"/>
    <w:rsid w:val="11A07FD4"/>
    <w:rsid w:val="11AC522E"/>
    <w:rsid w:val="11CB37C8"/>
    <w:rsid w:val="136A6610"/>
    <w:rsid w:val="13EE3A98"/>
    <w:rsid w:val="13F83651"/>
    <w:rsid w:val="14D6571F"/>
    <w:rsid w:val="14E261C9"/>
    <w:rsid w:val="151439D2"/>
    <w:rsid w:val="15270F29"/>
    <w:rsid w:val="165B2F3A"/>
    <w:rsid w:val="1672275E"/>
    <w:rsid w:val="170B4961"/>
    <w:rsid w:val="17703C75"/>
    <w:rsid w:val="18A91570"/>
    <w:rsid w:val="196071E6"/>
    <w:rsid w:val="1B476371"/>
    <w:rsid w:val="1B5F0D1E"/>
    <w:rsid w:val="1B7C159E"/>
    <w:rsid w:val="1C9A2A0F"/>
    <w:rsid w:val="1D04257E"/>
    <w:rsid w:val="1EE021C5"/>
    <w:rsid w:val="1F0C3366"/>
    <w:rsid w:val="201120ED"/>
    <w:rsid w:val="201B7F11"/>
    <w:rsid w:val="20387439"/>
    <w:rsid w:val="205B6DE8"/>
    <w:rsid w:val="212B632B"/>
    <w:rsid w:val="218E05D9"/>
    <w:rsid w:val="219537A4"/>
    <w:rsid w:val="21E1216B"/>
    <w:rsid w:val="22437BC1"/>
    <w:rsid w:val="229B7A29"/>
    <w:rsid w:val="22F42DCC"/>
    <w:rsid w:val="23A02178"/>
    <w:rsid w:val="24264F54"/>
    <w:rsid w:val="24654027"/>
    <w:rsid w:val="2480698E"/>
    <w:rsid w:val="24882D62"/>
    <w:rsid w:val="25754238"/>
    <w:rsid w:val="25AB5124"/>
    <w:rsid w:val="268E45DB"/>
    <w:rsid w:val="269F1FF9"/>
    <w:rsid w:val="26A2469F"/>
    <w:rsid w:val="26C058DB"/>
    <w:rsid w:val="270C275B"/>
    <w:rsid w:val="2762006E"/>
    <w:rsid w:val="278C42F2"/>
    <w:rsid w:val="28026FB4"/>
    <w:rsid w:val="28137B19"/>
    <w:rsid w:val="28670B37"/>
    <w:rsid w:val="28695261"/>
    <w:rsid w:val="2A0077A5"/>
    <w:rsid w:val="2A557F75"/>
    <w:rsid w:val="2AF67453"/>
    <w:rsid w:val="2B6F1311"/>
    <w:rsid w:val="2BFC74E3"/>
    <w:rsid w:val="2C0A28E6"/>
    <w:rsid w:val="2C215D81"/>
    <w:rsid w:val="2C5767DE"/>
    <w:rsid w:val="2C7530B9"/>
    <w:rsid w:val="2C8A4AF9"/>
    <w:rsid w:val="2CBA5C99"/>
    <w:rsid w:val="2CC26FDF"/>
    <w:rsid w:val="2D8F1639"/>
    <w:rsid w:val="2D9139BA"/>
    <w:rsid w:val="2E0228D1"/>
    <w:rsid w:val="2E1D764B"/>
    <w:rsid w:val="2E5A1FFE"/>
    <w:rsid w:val="30313232"/>
    <w:rsid w:val="304E6A48"/>
    <w:rsid w:val="316D3DF6"/>
    <w:rsid w:val="31885988"/>
    <w:rsid w:val="31A17923"/>
    <w:rsid w:val="320F75A3"/>
    <w:rsid w:val="32847455"/>
    <w:rsid w:val="32EB1476"/>
    <w:rsid w:val="337A7851"/>
    <w:rsid w:val="34ED1016"/>
    <w:rsid w:val="356D0E7C"/>
    <w:rsid w:val="35A9579F"/>
    <w:rsid w:val="36BA5D6D"/>
    <w:rsid w:val="36D04FF5"/>
    <w:rsid w:val="37501031"/>
    <w:rsid w:val="37590640"/>
    <w:rsid w:val="375E1DE2"/>
    <w:rsid w:val="383C2774"/>
    <w:rsid w:val="390E35B7"/>
    <w:rsid w:val="39FB5327"/>
    <w:rsid w:val="3A914FF9"/>
    <w:rsid w:val="3BB865B6"/>
    <w:rsid w:val="3BED5E65"/>
    <w:rsid w:val="3DFB09DB"/>
    <w:rsid w:val="3E70582C"/>
    <w:rsid w:val="3F0331D2"/>
    <w:rsid w:val="3F31011D"/>
    <w:rsid w:val="3F4D34B9"/>
    <w:rsid w:val="3F6525B0"/>
    <w:rsid w:val="3FA30668"/>
    <w:rsid w:val="40041976"/>
    <w:rsid w:val="407050F1"/>
    <w:rsid w:val="424A6593"/>
    <w:rsid w:val="4250579A"/>
    <w:rsid w:val="42821601"/>
    <w:rsid w:val="42C811FF"/>
    <w:rsid w:val="43346E69"/>
    <w:rsid w:val="438F4579"/>
    <w:rsid w:val="43DA6B22"/>
    <w:rsid w:val="440921E4"/>
    <w:rsid w:val="441C3545"/>
    <w:rsid w:val="446948F1"/>
    <w:rsid w:val="447E547B"/>
    <w:rsid w:val="44951994"/>
    <w:rsid w:val="45A309D3"/>
    <w:rsid w:val="45CC01E5"/>
    <w:rsid w:val="47242D51"/>
    <w:rsid w:val="482F5DC6"/>
    <w:rsid w:val="48535370"/>
    <w:rsid w:val="48A83C8F"/>
    <w:rsid w:val="492F6EEB"/>
    <w:rsid w:val="49EC3FB3"/>
    <w:rsid w:val="4A0A614B"/>
    <w:rsid w:val="4A770517"/>
    <w:rsid w:val="4A895CED"/>
    <w:rsid w:val="4AB05EAC"/>
    <w:rsid w:val="4ABD5996"/>
    <w:rsid w:val="4B1C02F8"/>
    <w:rsid w:val="4C9702F9"/>
    <w:rsid w:val="4D191146"/>
    <w:rsid w:val="4E396780"/>
    <w:rsid w:val="4FD84E7A"/>
    <w:rsid w:val="50A04ABE"/>
    <w:rsid w:val="51132CC3"/>
    <w:rsid w:val="52E74611"/>
    <w:rsid w:val="55A16B67"/>
    <w:rsid w:val="565C2507"/>
    <w:rsid w:val="577E683E"/>
    <w:rsid w:val="57F608FF"/>
    <w:rsid w:val="58E356F5"/>
    <w:rsid w:val="59084281"/>
    <w:rsid w:val="59AC5554"/>
    <w:rsid w:val="5A023C26"/>
    <w:rsid w:val="5A0D79FC"/>
    <w:rsid w:val="5A344EA3"/>
    <w:rsid w:val="5ACD3DB4"/>
    <w:rsid w:val="5B330DB9"/>
    <w:rsid w:val="5B357F4A"/>
    <w:rsid w:val="5D1A6C78"/>
    <w:rsid w:val="5E011BEC"/>
    <w:rsid w:val="5E0314BA"/>
    <w:rsid w:val="5E5E1A97"/>
    <w:rsid w:val="5EEF42AD"/>
    <w:rsid w:val="5F345E70"/>
    <w:rsid w:val="5F785D9C"/>
    <w:rsid w:val="5F8372B8"/>
    <w:rsid w:val="5FC95781"/>
    <w:rsid w:val="60737EFD"/>
    <w:rsid w:val="60BF3DBF"/>
    <w:rsid w:val="61C3079F"/>
    <w:rsid w:val="63381C06"/>
    <w:rsid w:val="640931CD"/>
    <w:rsid w:val="64FB57E7"/>
    <w:rsid w:val="65174A5D"/>
    <w:rsid w:val="66F47DA2"/>
    <w:rsid w:val="674448D3"/>
    <w:rsid w:val="6746743A"/>
    <w:rsid w:val="67E64431"/>
    <w:rsid w:val="69054923"/>
    <w:rsid w:val="696A536C"/>
    <w:rsid w:val="69831701"/>
    <w:rsid w:val="6A0C2BB4"/>
    <w:rsid w:val="6A706DE0"/>
    <w:rsid w:val="6AA270B4"/>
    <w:rsid w:val="6AA87EC6"/>
    <w:rsid w:val="6BBD5B14"/>
    <w:rsid w:val="6C6770B8"/>
    <w:rsid w:val="6D162FB8"/>
    <w:rsid w:val="6D1A3AF6"/>
    <w:rsid w:val="6D2C61F2"/>
    <w:rsid w:val="6D4260BE"/>
    <w:rsid w:val="6E5B69FB"/>
    <w:rsid w:val="6E650847"/>
    <w:rsid w:val="6EAE67D2"/>
    <w:rsid w:val="6ED75856"/>
    <w:rsid w:val="6ED956C3"/>
    <w:rsid w:val="6F4B0F13"/>
    <w:rsid w:val="6F6035E8"/>
    <w:rsid w:val="7075449A"/>
    <w:rsid w:val="70755E26"/>
    <w:rsid w:val="70CB230C"/>
    <w:rsid w:val="71C07997"/>
    <w:rsid w:val="726B7FBA"/>
    <w:rsid w:val="73592A5F"/>
    <w:rsid w:val="739E7864"/>
    <w:rsid w:val="73B9469D"/>
    <w:rsid w:val="73DF359C"/>
    <w:rsid w:val="73F8480B"/>
    <w:rsid w:val="762F5265"/>
    <w:rsid w:val="765207E8"/>
    <w:rsid w:val="77DC4DFE"/>
    <w:rsid w:val="79327D61"/>
    <w:rsid w:val="7A545986"/>
    <w:rsid w:val="7C142D60"/>
    <w:rsid w:val="7C444D20"/>
    <w:rsid w:val="7CE209E7"/>
    <w:rsid w:val="7CE26B65"/>
    <w:rsid w:val="7D1D05F1"/>
    <w:rsid w:val="7D5567E4"/>
    <w:rsid w:val="7DB3215D"/>
    <w:rsid w:val="7E5853BB"/>
    <w:rsid w:val="7EB22A7B"/>
    <w:rsid w:val="7EFE1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38"/>
    <w:semiHidden/>
    <w:unhideWhenUsed/>
    <w:qFormat/>
    <w:uiPriority w:val="0"/>
  </w:style>
  <w:style w:type="paragraph" w:styleId="3">
    <w:name w:val="Balloon Text"/>
    <w:basedOn w:val="1"/>
    <w:link w:val="16"/>
    <w:qFormat/>
    <w:uiPriority w:val="0"/>
    <w:rPr>
      <w:sz w:val="18"/>
      <w:szCs w:val="18"/>
    </w:rPr>
  </w:style>
  <w:style w:type="paragraph" w:styleId="4">
    <w:name w:val="footer"/>
    <w:basedOn w:val="1"/>
    <w:link w:val="14"/>
    <w:autoRedefine/>
    <w:qFormat/>
    <w:uiPriority w:val="99"/>
    <w:pPr>
      <w:tabs>
        <w:tab w:val="center" w:pos="4153"/>
        <w:tab w:val="right" w:pos="8306"/>
      </w:tabs>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annotation subject"/>
    <w:basedOn w:val="2"/>
    <w:next w:val="2"/>
    <w:link w:val="239"/>
    <w:semiHidden/>
    <w:unhideWhenUsed/>
    <w:qFormat/>
    <w:uiPriority w:val="0"/>
    <w:rPr>
      <w:b/>
      <w:bCs/>
    </w:rPr>
  </w:style>
  <w:style w:type="table" w:styleId="8">
    <w:name w:val="Table Grid"/>
    <w:basedOn w:val="7"/>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unhideWhenUsed/>
    <w:qFormat/>
    <w:uiPriority w:val="99"/>
    <w:rPr>
      <w:color w:val="800080"/>
      <w:u w:val="single"/>
    </w:rPr>
  </w:style>
  <w:style w:type="character" w:styleId="11">
    <w:name w:val="Hyperlink"/>
    <w:basedOn w:val="9"/>
    <w:unhideWhenUsed/>
    <w:qFormat/>
    <w:uiPriority w:val="99"/>
    <w:rPr>
      <w:color w:val="0000FF"/>
      <w:u w:val="single"/>
    </w:rPr>
  </w:style>
  <w:style w:type="character" w:styleId="12">
    <w:name w:val="annotation reference"/>
    <w:basedOn w:val="9"/>
    <w:semiHidden/>
    <w:unhideWhenUsed/>
    <w:qFormat/>
    <w:uiPriority w:val="0"/>
    <w:rPr>
      <w:sz w:val="21"/>
      <w:szCs w:val="21"/>
    </w:rPr>
  </w:style>
  <w:style w:type="table" w:customStyle="1" w:styleId="13">
    <w:name w:val="Table Normal"/>
    <w:autoRedefine/>
    <w:semiHidden/>
    <w:unhideWhenUsed/>
    <w:qFormat/>
    <w:uiPriority w:val="0"/>
    <w:tblPr>
      <w:tblCellMar>
        <w:top w:w="0" w:type="dxa"/>
        <w:left w:w="0" w:type="dxa"/>
        <w:bottom w:w="0" w:type="dxa"/>
        <w:right w:w="0" w:type="dxa"/>
      </w:tblCellMar>
    </w:tblPr>
  </w:style>
  <w:style w:type="character" w:customStyle="1" w:styleId="14">
    <w:name w:val="页脚 Char"/>
    <w:basedOn w:val="9"/>
    <w:link w:val="4"/>
    <w:autoRedefine/>
    <w:qFormat/>
    <w:uiPriority w:val="99"/>
    <w:rPr>
      <w:rFonts w:ascii="Arial" w:hAnsi="Arial" w:eastAsia="Arial" w:cs="Arial"/>
      <w:snapToGrid w:val="0"/>
      <w:color w:val="000000"/>
      <w:sz w:val="18"/>
      <w:szCs w:val="21"/>
    </w:rPr>
  </w:style>
  <w:style w:type="paragraph" w:styleId="15">
    <w:name w:val="List Paragraph"/>
    <w:basedOn w:val="1"/>
    <w:autoRedefine/>
    <w:qFormat/>
    <w:uiPriority w:val="34"/>
    <w:pPr>
      <w:ind w:firstLine="420"/>
    </w:pPr>
  </w:style>
  <w:style w:type="character" w:customStyle="1" w:styleId="16">
    <w:name w:val="批注框文本 Char"/>
    <w:basedOn w:val="9"/>
    <w:link w:val="3"/>
    <w:qFormat/>
    <w:uiPriority w:val="0"/>
    <w:rPr>
      <w:rFonts w:ascii="Arial" w:hAnsi="Arial" w:eastAsia="Arial" w:cs="Arial"/>
      <w:snapToGrid w:val="0"/>
      <w:color w:val="000000"/>
      <w:sz w:val="18"/>
      <w:szCs w:val="18"/>
    </w:rPr>
  </w:style>
  <w:style w:type="paragraph" w:customStyle="1" w:styleId="17">
    <w:name w:val="font5"/>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18"/>
      <w:szCs w:val="18"/>
    </w:rPr>
  </w:style>
  <w:style w:type="paragraph" w:customStyle="1" w:styleId="18">
    <w:name w:val="font6"/>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18"/>
      <w:szCs w:val="18"/>
    </w:rPr>
  </w:style>
  <w:style w:type="paragraph" w:customStyle="1" w:styleId="19">
    <w:name w:val="font7"/>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18"/>
      <w:szCs w:val="18"/>
    </w:rPr>
  </w:style>
  <w:style w:type="paragraph" w:customStyle="1" w:styleId="20">
    <w:name w:val="font8"/>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20"/>
      <w:szCs w:val="20"/>
    </w:rPr>
  </w:style>
  <w:style w:type="paragraph" w:customStyle="1" w:styleId="21">
    <w:name w:val="font9"/>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0"/>
      <w:szCs w:val="20"/>
    </w:rPr>
  </w:style>
  <w:style w:type="paragraph" w:customStyle="1" w:styleId="22">
    <w:name w:val="font10"/>
    <w:basedOn w:val="1"/>
    <w:qFormat/>
    <w:uiPriority w:val="0"/>
    <w:pPr>
      <w:kinsoku/>
      <w:autoSpaceDE/>
      <w:autoSpaceDN/>
      <w:adjustRightInd/>
      <w:snapToGrid/>
      <w:spacing w:before="100" w:beforeAutospacing="1" w:after="100" w:afterAutospacing="1"/>
      <w:textAlignment w:val="auto"/>
    </w:pPr>
    <w:rPr>
      <w:rFonts w:ascii="宋体" w:hAnsi="宋体" w:eastAsia="宋体" w:cs="宋体"/>
      <w:b/>
      <w:bCs/>
      <w:snapToGrid/>
      <w:color w:val="auto"/>
      <w:sz w:val="20"/>
      <w:szCs w:val="20"/>
    </w:rPr>
  </w:style>
  <w:style w:type="paragraph" w:customStyle="1" w:styleId="23">
    <w:name w:val="font11"/>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b/>
      <w:bCs/>
      <w:snapToGrid/>
      <w:color w:val="auto"/>
      <w:sz w:val="20"/>
      <w:szCs w:val="20"/>
    </w:rPr>
  </w:style>
  <w:style w:type="paragraph" w:customStyle="1" w:styleId="24">
    <w:name w:val="xl11022"/>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24"/>
      <w:szCs w:val="24"/>
    </w:rPr>
  </w:style>
  <w:style w:type="paragraph" w:customStyle="1" w:styleId="25">
    <w:name w:val="xl1102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26">
    <w:name w:val="xl1102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7">
    <w:name w:val="xl1102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8">
    <w:name w:val="xl1102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9">
    <w:name w:val="xl1102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30">
    <w:name w:val="xl1102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31">
    <w:name w:val="xl1102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32">
    <w:name w:val="xl1103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33">
    <w:name w:val="xl1103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34">
    <w:name w:val="xl1103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35">
    <w:name w:val="xl1103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36">
    <w:name w:val="xl1103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37">
    <w:name w:val="xl1103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38">
    <w:name w:val="xl1103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39">
    <w:name w:val="xl1103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0">
    <w:name w:val="xl1103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1">
    <w:name w:val="xl1103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2">
    <w:name w:val="xl11040"/>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3">
    <w:name w:val="xl1104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Calibri" w:hAnsi="Calibri" w:eastAsia="宋体" w:cs="Calibri"/>
      <w:snapToGrid/>
      <w:color w:val="auto"/>
      <w:sz w:val="20"/>
      <w:szCs w:val="20"/>
    </w:rPr>
  </w:style>
  <w:style w:type="paragraph" w:customStyle="1" w:styleId="44">
    <w:name w:val="xl11042"/>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u w:val="single"/>
    </w:rPr>
  </w:style>
  <w:style w:type="paragraph" w:customStyle="1" w:styleId="45">
    <w:name w:val="xl11043"/>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u w:val="single"/>
    </w:rPr>
  </w:style>
  <w:style w:type="paragraph" w:customStyle="1" w:styleId="46">
    <w:name w:val="xl1104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47">
    <w:name w:val="xl11045"/>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8">
    <w:name w:val="xl11046"/>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49">
    <w:name w:val="xl11047"/>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0">
    <w:name w:val="xl11048"/>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1">
    <w:name w:val="xl11049"/>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2">
    <w:name w:val="xl11050"/>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53">
    <w:name w:val="xl1105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i/>
      <w:iCs/>
      <w:snapToGrid/>
      <w:color w:val="auto"/>
      <w:sz w:val="18"/>
      <w:szCs w:val="18"/>
    </w:rPr>
  </w:style>
  <w:style w:type="paragraph" w:customStyle="1" w:styleId="54">
    <w:name w:val="xl11052"/>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5">
    <w:name w:val="xl11053"/>
    <w:basedOn w:val="1"/>
    <w:qFormat/>
    <w:uiPriority w:val="0"/>
    <w:pP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sz w:val="18"/>
      <w:szCs w:val="18"/>
    </w:rPr>
  </w:style>
  <w:style w:type="paragraph" w:customStyle="1" w:styleId="56">
    <w:name w:val="xl11054"/>
    <w:basedOn w:val="1"/>
    <w:qFormat/>
    <w:uiPriority w:val="0"/>
    <w:pP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24"/>
      <w:szCs w:val="24"/>
    </w:rPr>
  </w:style>
  <w:style w:type="paragraph" w:customStyle="1" w:styleId="57">
    <w:name w:val="xl11055"/>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18"/>
      <w:szCs w:val="18"/>
    </w:rPr>
  </w:style>
  <w:style w:type="paragraph" w:customStyle="1" w:styleId="58">
    <w:name w:val="xl1105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9">
    <w:name w:val="xl1105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60">
    <w:name w:val="xl1105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61">
    <w:name w:val="xl1105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62">
    <w:name w:val="xl1106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3">
    <w:name w:val="xl1106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64">
    <w:name w:val="xl1106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5">
    <w:name w:val="xl1106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6">
    <w:name w:val="xl1106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7">
    <w:name w:val="xl1106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8">
    <w:name w:val="xl1106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9">
    <w:name w:val="xl11067"/>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0">
    <w:name w:val="xl11068"/>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1">
    <w:name w:val="xl1106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2">
    <w:name w:val="xl1107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3">
    <w:name w:val="xl1107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4">
    <w:name w:val="xl1107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5">
    <w:name w:val="xl11073"/>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6">
    <w:name w:val="xl1107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77">
    <w:name w:val="xl1107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8">
    <w:name w:val="xl1107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79">
    <w:name w:val="xl1107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80">
    <w:name w:val="xl1107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81">
    <w:name w:val="xl11079"/>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2">
    <w:name w:val="xl11080"/>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83">
    <w:name w:val="xl11081"/>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84">
    <w:name w:val="xl11082"/>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85">
    <w:name w:val="xl11083"/>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6">
    <w:name w:val="xl11084"/>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7">
    <w:name w:val="xl11085"/>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8">
    <w:name w:val="xl1108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9">
    <w:name w:val="xl1108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90">
    <w:name w:val="xl11088"/>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1">
    <w:name w:val="xl11089"/>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92">
    <w:name w:val="xl11090"/>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93">
    <w:name w:val="xl11091"/>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94">
    <w:name w:val="xl1109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i/>
      <w:iCs/>
      <w:snapToGrid/>
      <w:color w:val="auto"/>
      <w:sz w:val="18"/>
      <w:szCs w:val="18"/>
    </w:rPr>
  </w:style>
  <w:style w:type="paragraph" w:customStyle="1" w:styleId="95">
    <w:name w:val="xl1109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6">
    <w:name w:val="xl1109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7">
    <w:name w:val="xl1109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8">
    <w:name w:val="xl11096"/>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9">
    <w:name w:val="xl1109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00">
    <w:name w:val="xl1109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01">
    <w:name w:val="xl1109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02">
    <w:name w:val="xl11100"/>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3">
    <w:name w:val="xl1110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04">
    <w:name w:val="xl1110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05">
    <w:name w:val="xl1110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06">
    <w:name w:val="xl1110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07">
    <w:name w:val="xl1110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08">
    <w:name w:val="xl1110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09">
    <w:name w:val="xl11107"/>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0">
    <w:name w:val="xl11108"/>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11">
    <w:name w:val="xl11109"/>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12">
    <w:name w:val="xl11110"/>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13">
    <w:name w:val="xl11111"/>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4">
    <w:name w:val="xl11112"/>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5">
    <w:name w:val="xl11113"/>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16">
    <w:name w:val="xl11114"/>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7">
    <w:name w:val="xl11115"/>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18">
    <w:name w:val="xl11116"/>
    <w:basedOn w:val="1"/>
    <w:qFormat/>
    <w:uiPriority w:val="0"/>
    <w:pPr>
      <w:pBdr>
        <w:lef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9">
    <w:name w:val="xl11117"/>
    <w:basedOn w:val="1"/>
    <w:qFormat/>
    <w:uiPriority w:val="0"/>
    <w:pPr>
      <w:pBdr>
        <w:left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0">
    <w:name w:val="xl11118"/>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1">
    <w:name w:val="xl11119"/>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2">
    <w:name w:val="xl11120"/>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23">
    <w:name w:val="xl11121"/>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24">
    <w:name w:val="xl11122"/>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25">
    <w:name w:val="xl11123"/>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6">
    <w:name w:val="xl11124"/>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7">
    <w:name w:val="xl11125"/>
    <w:basedOn w:val="1"/>
    <w:qFormat/>
    <w:uiPriority w:val="0"/>
    <w:pPr>
      <w:pBdr>
        <w:top w:val="single" w:color="auto" w:sz="4" w:space="0"/>
        <w:left w:val="single" w:color="auto" w:sz="4" w:space="0"/>
        <w:bottom w:val="single" w:color="auto" w:sz="4" w:space="0"/>
        <w:right w:val="single" w:color="auto" w:sz="8"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8">
    <w:name w:val="xl11126"/>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9">
    <w:name w:val="xl11127"/>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0">
    <w:name w:val="xl1112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1">
    <w:name w:val="xl11129"/>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2">
    <w:name w:val="xl11130"/>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3">
    <w:name w:val="xl1113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4">
    <w:name w:val="xl1113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5">
    <w:name w:val="xl11133"/>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6">
    <w:name w:val="xl11134"/>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37">
    <w:name w:val="xl11135"/>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8">
    <w:name w:val="xl11136"/>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39">
    <w:name w:val="xl11137"/>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40">
    <w:name w:val="xl11138"/>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41">
    <w:name w:val="xl11139"/>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2">
    <w:name w:val="xl11140"/>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3">
    <w:name w:val="xl11141"/>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4">
    <w:name w:val="xl11142"/>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5">
    <w:name w:val="xl11143"/>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6">
    <w:name w:val="xl11144"/>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7">
    <w:name w:val="xl11145"/>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8">
    <w:name w:val="xl11146"/>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9">
    <w:name w:val="xl1114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0">
    <w:name w:val="xl11148"/>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1">
    <w:name w:val="xl11149"/>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2">
    <w:name w:val="xl11150"/>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53">
    <w:name w:val="xl11151"/>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54">
    <w:name w:val="xl11152"/>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5">
    <w:name w:val="xl11153"/>
    <w:basedOn w:val="1"/>
    <w:qFormat/>
    <w:uiPriority w:val="0"/>
    <w:pPr>
      <w:pBdr>
        <w:top w:val="single" w:color="auto" w:sz="4" w:space="0"/>
        <w:left w:val="single" w:color="auto" w:sz="4" w:space="0"/>
        <w:bottom w:val="single" w:color="auto" w:sz="4" w:space="0"/>
        <w:right w:val="single" w:color="auto" w:sz="8"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6">
    <w:name w:val="xl11154"/>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7">
    <w:name w:val="xl11155"/>
    <w:basedOn w:val="1"/>
    <w:qFormat/>
    <w:uiPriority w:val="0"/>
    <w:pPr>
      <w:pBdr>
        <w:top w:val="single" w:color="auto" w:sz="4" w:space="0"/>
        <w:left w:val="single" w:color="auto" w:sz="4" w:space="0"/>
        <w:bottom w:val="single" w:color="auto" w:sz="4" w:space="0"/>
        <w:right w:val="single" w:color="auto" w:sz="8"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8">
    <w:name w:val="xl11156"/>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59">
    <w:name w:val="xl1115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60">
    <w:name w:val="xl1115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61">
    <w:name w:val="xl11159"/>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62">
    <w:name w:val="xl11160"/>
    <w:basedOn w:val="1"/>
    <w:qFormat/>
    <w:uiPriority w:val="0"/>
    <w:pPr>
      <w:pBdr>
        <w:top w:val="single" w:color="auto" w:sz="4" w:space="0"/>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3">
    <w:name w:val="xl11161"/>
    <w:basedOn w:val="1"/>
    <w:qFormat/>
    <w:uiPriority w:val="0"/>
    <w:pPr>
      <w:pBdr>
        <w:top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4">
    <w:name w:val="xl1116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5">
    <w:name w:val="xl1116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66">
    <w:name w:val="xl11164"/>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7">
    <w:name w:val="xl11165"/>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68">
    <w:name w:val="xl11166"/>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9">
    <w:name w:val="xl11167"/>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0">
    <w:name w:val="xl11168"/>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1">
    <w:name w:val="xl11169"/>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72">
    <w:name w:val="xl11170"/>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73">
    <w:name w:val="xl1117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74">
    <w:name w:val="xl11172"/>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75">
    <w:name w:val="xl11173"/>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76">
    <w:name w:val="xl1117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77">
    <w:name w:val="xl11175"/>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78">
    <w:name w:val="xl11176"/>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79">
    <w:name w:val="xl11177"/>
    <w:basedOn w:val="1"/>
    <w:qFormat/>
    <w:uiPriority w:val="0"/>
    <w:pPr>
      <w:pBdr>
        <w:top w:val="single" w:color="auto" w:sz="8"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80">
    <w:name w:val="xl11178"/>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81">
    <w:name w:val="xl11179"/>
    <w:basedOn w:val="1"/>
    <w:qFormat/>
    <w:uiPriority w:val="0"/>
    <w:pPr>
      <w:pBdr>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82">
    <w:name w:val="xl11180"/>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83">
    <w:name w:val="xl11181"/>
    <w:basedOn w:val="1"/>
    <w:qFormat/>
    <w:uiPriority w:val="0"/>
    <w:pPr>
      <w:pBdr>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84">
    <w:name w:val="xl11182"/>
    <w:basedOn w:val="1"/>
    <w:qFormat/>
    <w:uiPriority w:val="0"/>
    <w:pPr>
      <w:pBdr>
        <w:top w:val="single" w:color="auto" w:sz="4" w:space="0"/>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85">
    <w:name w:val="xl11183"/>
    <w:basedOn w:val="1"/>
    <w:qFormat/>
    <w:uiPriority w:val="0"/>
    <w:pPr>
      <w:pBdr>
        <w:top w:val="single" w:color="auto" w:sz="4" w:space="0"/>
        <w:left w:val="single" w:color="auto" w:sz="8"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20"/>
      <w:szCs w:val="20"/>
    </w:rPr>
  </w:style>
  <w:style w:type="paragraph" w:customStyle="1" w:styleId="186">
    <w:name w:val="xl1118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87">
    <w:name w:val="xl11185"/>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88">
    <w:name w:val="xl11186"/>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0"/>
      <w:szCs w:val="20"/>
    </w:rPr>
  </w:style>
  <w:style w:type="paragraph" w:customStyle="1" w:styleId="189">
    <w:name w:val="xl11187"/>
    <w:basedOn w:val="1"/>
    <w:qFormat/>
    <w:uiPriority w:val="0"/>
    <w:pPr>
      <w:pBdr>
        <w:bottom w:val="single" w:color="auto" w:sz="8"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b/>
      <w:bCs/>
      <w:snapToGrid/>
      <w:color w:val="auto"/>
      <w:sz w:val="20"/>
      <w:szCs w:val="20"/>
    </w:rPr>
  </w:style>
  <w:style w:type="paragraph" w:customStyle="1" w:styleId="190">
    <w:name w:val="xl11188"/>
    <w:basedOn w:val="1"/>
    <w:qFormat/>
    <w:uiPriority w:val="0"/>
    <w:pPr>
      <w:pBdr>
        <w:bottom w:val="single" w:color="auto" w:sz="8"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sz w:val="24"/>
      <w:szCs w:val="24"/>
    </w:rPr>
  </w:style>
  <w:style w:type="paragraph" w:customStyle="1" w:styleId="191">
    <w:name w:val="xl11189"/>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2">
    <w:name w:val="xl11190"/>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3">
    <w:name w:val="xl11191"/>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4">
    <w:name w:val="xl11192"/>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95">
    <w:name w:val="xl11193"/>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6">
    <w:name w:val="xl11194"/>
    <w:basedOn w:val="1"/>
    <w:qFormat/>
    <w:uiPriority w:val="0"/>
    <w:pPr>
      <w:pBdr>
        <w:top w:val="single" w:color="auto" w:sz="4" w:space="0"/>
        <w:left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7">
    <w:name w:val="xl11195"/>
    <w:basedOn w:val="1"/>
    <w:qFormat/>
    <w:uiPriority w:val="0"/>
    <w:pPr>
      <w:pBdr>
        <w:left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8">
    <w:name w:val="xl11196"/>
    <w:basedOn w:val="1"/>
    <w:qFormat/>
    <w:uiPriority w:val="0"/>
    <w:pPr>
      <w:pBdr>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9">
    <w:name w:val="xl11197"/>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0">
    <w:name w:val="xl11198"/>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1">
    <w:name w:val="xl11199"/>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2">
    <w:name w:val="xl11200"/>
    <w:basedOn w:val="1"/>
    <w:qFormat/>
    <w:uiPriority w:val="0"/>
    <w:pPr>
      <w:pBdr>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03">
    <w:name w:val="xl11201"/>
    <w:basedOn w:val="1"/>
    <w:qFormat/>
    <w:uiPriority w:val="0"/>
    <w:pP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4">
    <w:name w:val="xl11202"/>
    <w:basedOn w:val="1"/>
    <w:qFormat/>
    <w:uiPriority w:val="0"/>
    <w:pPr>
      <w:pBdr>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5">
    <w:name w:val="xl11203"/>
    <w:basedOn w:val="1"/>
    <w:qFormat/>
    <w:uiPriority w:val="0"/>
    <w:pPr>
      <w:pBdr>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6">
    <w:name w:val="xl11204"/>
    <w:basedOn w:val="1"/>
    <w:qFormat/>
    <w:uiPriority w:val="0"/>
    <w:pPr>
      <w:pBdr>
        <w:top w:val="single" w:color="auto" w:sz="8" w:space="0"/>
        <w:left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07">
    <w:name w:val="xl11205"/>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08">
    <w:name w:val="xl1120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4"/>
      <w:szCs w:val="24"/>
    </w:rPr>
  </w:style>
  <w:style w:type="paragraph" w:customStyle="1" w:styleId="209">
    <w:name w:val="xl11207"/>
    <w:basedOn w:val="1"/>
    <w:qFormat/>
    <w:uiPriority w:val="0"/>
    <w:pPr>
      <w:pBdr>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0">
    <w:name w:val="xl11208"/>
    <w:basedOn w:val="1"/>
    <w:qFormat/>
    <w:uiPriority w:val="0"/>
    <w:pPr>
      <w:pBdr>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1">
    <w:name w:val="xl11209"/>
    <w:basedOn w:val="1"/>
    <w:qFormat/>
    <w:uiPriority w:val="0"/>
    <w:pPr>
      <w:pBdr>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2">
    <w:name w:val="xl11210"/>
    <w:basedOn w:val="1"/>
    <w:qFormat/>
    <w:uiPriority w:val="0"/>
    <w:pPr>
      <w:pBdr>
        <w:top w:val="single" w:color="auto" w:sz="4" w:space="0"/>
        <w:left w:val="single" w:color="auto" w:sz="4" w:space="0"/>
        <w:bottom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3">
    <w:name w:val="xl11211"/>
    <w:basedOn w:val="1"/>
    <w:qFormat/>
    <w:uiPriority w:val="0"/>
    <w:pPr>
      <w:pBdr>
        <w:top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4">
    <w:name w:val="xl11212"/>
    <w:basedOn w:val="1"/>
    <w:qFormat/>
    <w:uiPriority w:val="0"/>
    <w:pPr>
      <w:pBdr>
        <w:top w:val="single" w:color="auto" w:sz="4" w:space="0"/>
        <w:left w:val="single" w:color="auto" w:sz="8" w:space="0"/>
        <w:bottom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15">
    <w:name w:val="xl11213"/>
    <w:basedOn w:val="1"/>
    <w:qFormat/>
    <w:uiPriority w:val="0"/>
    <w:pPr>
      <w:pBdr>
        <w:top w:val="single" w:color="auto" w:sz="4" w:space="0"/>
        <w:bottom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16">
    <w:name w:val="xl11214"/>
    <w:basedOn w:val="1"/>
    <w:qFormat/>
    <w:uiPriority w:val="0"/>
    <w:pPr>
      <w:pBdr>
        <w:top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17">
    <w:name w:val="xl11215"/>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18">
    <w:name w:val="xl11216"/>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19">
    <w:name w:val="xl11217"/>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20">
    <w:name w:val="xl11218"/>
    <w:basedOn w:val="1"/>
    <w:qFormat/>
    <w:uiPriority w:val="0"/>
    <w:pP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1">
    <w:name w:val="xl11219"/>
    <w:basedOn w:val="1"/>
    <w:qFormat/>
    <w:uiPriority w:val="0"/>
    <w:pPr>
      <w:pBdr>
        <w:top w:val="single" w:color="auto" w:sz="4" w:space="0"/>
        <w:bottom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2">
    <w:name w:val="xl11220"/>
    <w:basedOn w:val="1"/>
    <w:qFormat/>
    <w:uiPriority w:val="0"/>
    <w:pPr>
      <w:pBdr>
        <w:top w:val="single" w:color="auto" w:sz="4" w:space="0"/>
        <w:left w:val="single" w:color="auto" w:sz="4" w:space="0"/>
        <w:bottom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3">
    <w:name w:val="xl11221"/>
    <w:basedOn w:val="1"/>
    <w:qFormat/>
    <w:uiPriority w:val="0"/>
    <w:pPr>
      <w:pBdr>
        <w:top w:val="single" w:color="auto" w:sz="4" w:space="0"/>
        <w:bottom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4">
    <w:name w:val="xl11222"/>
    <w:basedOn w:val="1"/>
    <w:qFormat/>
    <w:uiPriority w:val="0"/>
    <w:pPr>
      <w:pBdr>
        <w:top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5">
    <w:name w:val="xl63"/>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26">
    <w:name w:val="xl64"/>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27">
    <w:name w:val="xl6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4"/>
      <w:szCs w:val="24"/>
    </w:rPr>
  </w:style>
  <w:style w:type="paragraph" w:customStyle="1" w:styleId="228">
    <w:name w:val="xl6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29">
    <w:name w:val="xl6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30">
    <w:name w:val="xl6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31">
    <w:name w:val="xl6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sz w:val="16"/>
      <w:szCs w:val="16"/>
    </w:rPr>
  </w:style>
  <w:style w:type="paragraph" w:customStyle="1" w:styleId="232">
    <w:name w:val="xl7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4"/>
      <w:szCs w:val="24"/>
    </w:rPr>
  </w:style>
  <w:style w:type="paragraph" w:customStyle="1" w:styleId="233">
    <w:name w:val="xl7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16"/>
      <w:szCs w:val="16"/>
    </w:rPr>
  </w:style>
  <w:style w:type="paragraph" w:customStyle="1" w:styleId="234">
    <w:name w:val="msonormal"/>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235">
    <w:name w:val="xl7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16"/>
      <w:szCs w:val="16"/>
    </w:rPr>
  </w:style>
  <w:style w:type="paragraph" w:customStyle="1" w:styleId="236">
    <w:name w:val="xl7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4"/>
      <w:szCs w:val="24"/>
    </w:rPr>
  </w:style>
  <w:style w:type="paragraph" w:customStyle="1" w:styleId="237">
    <w:name w:val="font12"/>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22"/>
      <w:szCs w:val="22"/>
    </w:rPr>
  </w:style>
  <w:style w:type="character" w:customStyle="1" w:styleId="238">
    <w:name w:val="批注文字 Char"/>
    <w:basedOn w:val="9"/>
    <w:link w:val="2"/>
    <w:semiHidden/>
    <w:qFormat/>
    <w:uiPriority w:val="0"/>
    <w:rPr>
      <w:rFonts w:ascii="Arial" w:hAnsi="Arial" w:eastAsia="Arial" w:cs="Arial"/>
      <w:snapToGrid w:val="0"/>
      <w:color w:val="000000"/>
      <w:sz w:val="21"/>
      <w:szCs w:val="21"/>
    </w:rPr>
  </w:style>
  <w:style w:type="character" w:customStyle="1" w:styleId="239">
    <w:name w:val="批注主题 Char"/>
    <w:basedOn w:val="238"/>
    <w:link w:val="6"/>
    <w:semiHidden/>
    <w:qFormat/>
    <w:uiPriority w:val="0"/>
    <w:rPr>
      <w:rFonts w:ascii="Arial" w:hAnsi="Arial" w:eastAsia="Arial" w:cs="Arial"/>
      <w:b/>
      <w:bCs/>
      <w:snapToGrid w:val="0"/>
      <w:color w:val="000000"/>
      <w:sz w:val="21"/>
      <w:szCs w:val="21"/>
    </w:rPr>
  </w:style>
  <w:style w:type="paragraph" w:customStyle="1" w:styleId="240">
    <w:name w:val="修订1"/>
    <w:hidden/>
    <w:unhideWhenUsed/>
    <w:qFormat/>
    <w:uiPriority w:val="99"/>
    <w:rPr>
      <w:rFonts w:ascii="Arial" w:hAnsi="Arial" w:eastAsia="Arial" w:cs="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2643</Words>
  <Characters>2763</Characters>
  <Lines>21</Lines>
  <Paragraphs>6</Paragraphs>
  <TotalTime>0</TotalTime>
  <ScaleCrop>false</ScaleCrop>
  <LinksUpToDate>false</LinksUpToDate>
  <CharactersWithSpaces>2815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2026-01-14T13:17:00Z</dcterms:created>
  <dc:creator>Ruby</dc:creator>
  <cp:lastModifiedBy>忆江南</cp:lastModifiedBy>
  <cp:lastPrinted>2026-08-26T14:45:00Z</cp:lastPrinted>
  <dcterms:modified xsi:type="dcterms:W3CDTF">2026-09-29T07:23:49Z</dcterms:modified>
  <cp:revision>271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2024-03-12T10:08:04Z</vt:filetime>
  </property>
  <property fmtid="{D5CDD505-2E9C-101B-9397-08002B2CF9AE}" pid="4" name="KSOProductBuildVer">
    <vt:lpwstr>2052-12.1.0.26895</vt:lpwstr>
  </property>
  <property fmtid="{D5CDD505-2E9C-101B-9397-08002B2CF9AE}" pid="5" name="ICV">
    <vt:lpwstr>B7AC32EEA7B84611827D0D6730F2193D_13</vt:lpwstr>
  </property>
  <property fmtid="{D5CDD505-2E9C-101B-9397-08002B2CF9AE}" pid="6" name="KSOTemplateDocerSaveRecord">
    <vt:lpwstr>eyJoZGlkIjoiYmI0OTMwMjAxMGM2ODBkMmY0NTBmOTQ5YTE3ZmRkOTQiLCJ1c2VySWQiOiI3OTczNDIxOTcifQ==</vt:lpwstr>
  </property>
</Properties>
</file>